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8177" w:type="dxa"/>
        <w:jc w:val="center"/>
        <w:tblLayout w:type="autofit"/>
        <w:tblCellMar>
          <w:top w:w="0" w:type="dxa"/>
          <w:left w:w="108" w:type="dxa"/>
          <w:bottom w:w="0" w:type="dxa"/>
          <w:right w:w="108" w:type="dxa"/>
        </w:tblCellMar>
      </w:tblPr>
      <w:tblGrid>
        <w:gridCol w:w="8177"/>
      </w:tblGrid>
      <w:tr w14:paraId="6DA67128">
        <w:tblPrEx>
          <w:tblCellMar>
            <w:top w:w="0" w:type="dxa"/>
            <w:left w:w="108" w:type="dxa"/>
            <w:bottom w:w="0" w:type="dxa"/>
            <w:right w:w="108" w:type="dxa"/>
          </w:tblCellMar>
        </w:tblPrEx>
        <w:trPr>
          <w:trHeight w:val="1701" w:hRule="atLeast"/>
          <w:jc w:val="center"/>
        </w:trPr>
        <w:tc>
          <w:tcPr>
            <w:tcW w:w="8177" w:type="dxa"/>
            <w:vAlign w:val="center"/>
          </w:tcPr>
          <w:p w14:paraId="0FB86E75">
            <w:pPr>
              <w:spacing w:line="360" w:lineRule="auto"/>
              <w:jc w:val="center"/>
              <w:rPr>
                <w:rFonts w:eastAsia="黑体"/>
                <w:spacing w:val="20"/>
                <w:sz w:val="32"/>
                <w:szCs w:val="32"/>
              </w:rPr>
            </w:pPr>
            <w:r>
              <w:rPr>
                <w:rFonts w:hint="eastAsia" w:eastAsia="黑体"/>
                <w:spacing w:val="20"/>
                <w:sz w:val="32"/>
              </w:rPr>
              <w:t>中国核学会</w:t>
            </w:r>
            <w:r>
              <w:rPr>
                <w:rFonts w:eastAsia="黑体"/>
                <w:spacing w:val="20"/>
                <w:sz w:val="32"/>
              </w:rPr>
              <w:t>标准</w:t>
            </w:r>
          </w:p>
        </w:tc>
      </w:tr>
      <w:tr w14:paraId="1DF46A9C">
        <w:tblPrEx>
          <w:tblCellMar>
            <w:top w:w="0" w:type="dxa"/>
            <w:left w:w="108" w:type="dxa"/>
            <w:bottom w:w="0" w:type="dxa"/>
            <w:right w:w="108" w:type="dxa"/>
          </w:tblCellMar>
        </w:tblPrEx>
        <w:trPr>
          <w:trHeight w:val="4535" w:hRule="atLeast"/>
          <w:jc w:val="center"/>
        </w:trPr>
        <w:tc>
          <w:tcPr>
            <w:tcW w:w="8177" w:type="dxa"/>
            <w:vAlign w:val="center"/>
          </w:tcPr>
          <w:p w14:paraId="0922636D">
            <w:pPr>
              <w:pStyle w:val="32"/>
              <w:framePr w:w="0" w:hRule="auto" w:wrap="auto" w:vAnchor="margin" w:hAnchor="text" w:xAlign="left" w:yAlign="inline"/>
              <w:rPr>
                <w:rFonts w:cs="黑体"/>
                <w:spacing w:val="20"/>
                <w:sz w:val="44"/>
                <w:szCs w:val="44"/>
              </w:rPr>
            </w:pPr>
            <w:r>
              <w:rPr>
                <w:rFonts w:hint="eastAsia" w:cs="黑体"/>
                <w:spacing w:val="20"/>
                <w:sz w:val="44"/>
                <w:szCs w:val="44"/>
              </w:rPr>
              <w:t>高温气冷堆核动力厂核级高温设备焊接规范</w:t>
            </w:r>
          </w:p>
          <w:p w14:paraId="074CEF5E">
            <w:pPr>
              <w:pStyle w:val="32"/>
              <w:framePr w:w="0" w:hRule="auto" w:wrap="auto" w:vAnchor="margin" w:hAnchor="text" w:xAlign="left" w:yAlign="inline"/>
              <w:rPr>
                <w:rFonts w:cs="黑体"/>
                <w:spacing w:val="20"/>
                <w:sz w:val="44"/>
                <w:szCs w:val="44"/>
              </w:rPr>
            </w:pPr>
            <w:r>
              <w:rPr>
                <w:rFonts w:hint="eastAsia" w:cs="黑体"/>
                <w:spacing w:val="20"/>
                <w:sz w:val="44"/>
                <w:szCs w:val="44"/>
              </w:rPr>
              <w:t>第</w:t>
            </w:r>
            <w:r>
              <w:rPr>
                <w:rFonts w:cs="黑体"/>
                <w:spacing w:val="20"/>
                <w:sz w:val="44"/>
                <w:szCs w:val="44"/>
              </w:rPr>
              <w:t>2</w:t>
            </w:r>
            <w:r>
              <w:rPr>
                <w:rFonts w:hint="eastAsia" w:cs="黑体"/>
                <w:spacing w:val="20"/>
                <w:sz w:val="44"/>
                <w:szCs w:val="44"/>
              </w:rPr>
              <w:t>部分 产品焊接及热处理</w:t>
            </w:r>
          </w:p>
          <w:p w14:paraId="4DF319D9">
            <w:pPr>
              <w:spacing w:line="720" w:lineRule="auto"/>
              <w:jc w:val="center"/>
              <w:rPr>
                <w:rFonts w:eastAsia="黑体" w:cs="黑体"/>
                <w:spacing w:val="20"/>
                <w:sz w:val="44"/>
                <w:szCs w:val="44"/>
              </w:rPr>
            </w:pPr>
          </w:p>
          <w:p w14:paraId="569D3F3C">
            <w:pPr>
              <w:spacing w:line="720" w:lineRule="auto"/>
              <w:jc w:val="center"/>
              <w:rPr>
                <w:rFonts w:eastAsia="黑体"/>
                <w:spacing w:val="20"/>
                <w:sz w:val="44"/>
                <w:szCs w:val="44"/>
              </w:rPr>
            </w:pPr>
            <w:r>
              <w:rPr>
                <w:rFonts w:hint="eastAsia" w:eastAsia="黑体" w:cs="黑体"/>
                <w:spacing w:val="20"/>
                <w:sz w:val="44"/>
                <w:szCs w:val="44"/>
              </w:rPr>
              <w:t>（征求意见稿）</w:t>
            </w:r>
          </w:p>
        </w:tc>
      </w:tr>
      <w:tr w14:paraId="3BF0937C">
        <w:tblPrEx>
          <w:tblCellMar>
            <w:top w:w="0" w:type="dxa"/>
            <w:left w:w="108" w:type="dxa"/>
            <w:bottom w:w="0" w:type="dxa"/>
            <w:right w:w="108" w:type="dxa"/>
          </w:tblCellMar>
        </w:tblPrEx>
        <w:trPr>
          <w:trHeight w:val="4535" w:hRule="atLeast"/>
          <w:jc w:val="center"/>
        </w:trPr>
        <w:tc>
          <w:tcPr>
            <w:tcW w:w="8177" w:type="dxa"/>
            <w:vAlign w:val="center"/>
          </w:tcPr>
          <w:p w14:paraId="2DD01FED">
            <w:pPr>
              <w:spacing w:line="360" w:lineRule="auto"/>
              <w:jc w:val="center"/>
              <w:rPr>
                <w:rFonts w:eastAsia="黑体"/>
                <w:spacing w:val="20"/>
                <w:sz w:val="44"/>
                <w:szCs w:val="44"/>
              </w:rPr>
            </w:pPr>
            <w:r>
              <w:rPr>
                <w:rFonts w:hint="eastAsia" w:eastAsia="黑体"/>
                <w:spacing w:val="20"/>
                <w:sz w:val="44"/>
                <w:szCs w:val="32"/>
              </w:rPr>
              <w:t>编制说明</w:t>
            </w:r>
          </w:p>
        </w:tc>
      </w:tr>
      <w:tr w14:paraId="122E4394">
        <w:tblPrEx>
          <w:tblCellMar>
            <w:top w:w="0" w:type="dxa"/>
            <w:left w:w="108" w:type="dxa"/>
            <w:bottom w:w="0" w:type="dxa"/>
            <w:right w:w="108" w:type="dxa"/>
          </w:tblCellMar>
        </w:tblPrEx>
        <w:trPr>
          <w:trHeight w:val="2835" w:hRule="atLeast"/>
          <w:jc w:val="center"/>
        </w:trPr>
        <w:tc>
          <w:tcPr>
            <w:tcW w:w="8177" w:type="dxa"/>
            <w:vAlign w:val="center"/>
          </w:tcPr>
          <w:p w14:paraId="3C65DD7F">
            <w:pPr>
              <w:jc w:val="center"/>
              <w:rPr>
                <w:rFonts w:eastAsia="黑体"/>
                <w:color w:val="0070C0"/>
                <w:spacing w:val="20"/>
                <w:sz w:val="32"/>
              </w:rPr>
            </w:pPr>
            <w:r>
              <w:rPr>
                <w:rFonts w:hint="eastAsia" w:eastAsia="黑体"/>
                <w:color w:val="0070C0"/>
                <w:spacing w:val="20"/>
                <w:sz w:val="32"/>
              </w:rPr>
              <w:t>标准编制组</w:t>
            </w:r>
          </w:p>
          <w:p w14:paraId="36B81488">
            <w:pPr>
              <w:spacing w:line="360" w:lineRule="auto"/>
              <w:jc w:val="center"/>
              <w:rPr>
                <w:rFonts w:eastAsia="黑体"/>
                <w:sz w:val="28"/>
                <w:szCs w:val="28"/>
              </w:rPr>
            </w:pPr>
            <w:r>
              <w:rPr>
                <w:rFonts w:eastAsia="黑体"/>
                <w:spacing w:val="20"/>
                <w:sz w:val="32"/>
              </w:rPr>
              <w:t>2026</w:t>
            </w:r>
            <w:r>
              <w:rPr>
                <w:rFonts w:hint="eastAsia" w:eastAsia="黑体"/>
                <w:spacing w:val="20"/>
                <w:sz w:val="32"/>
              </w:rPr>
              <w:t>年</w:t>
            </w:r>
            <w:r>
              <w:rPr>
                <w:rFonts w:eastAsia="黑体"/>
                <w:spacing w:val="20"/>
                <w:sz w:val="32"/>
              </w:rPr>
              <w:t>3</w:t>
            </w:r>
            <w:r>
              <w:rPr>
                <w:rFonts w:hint="eastAsia" w:eastAsia="黑体"/>
                <w:spacing w:val="20"/>
                <w:sz w:val="32"/>
              </w:rPr>
              <w:t>月</w:t>
            </w:r>
          </w:p>
        </w:tc>
      </w:tr>
    </w:tbl>
    <w:p w14:paraId="486A32D6">
      <w:pPr>
        <w:snapToGrid w:val="0"/>
        <w:jc w:val="center"/>
        <w:rPr>
          <w:rFonts w:ascii="黑体" w:eastAsia="黑体"/>
          <w:spacing w:val="20"/>
          <w:sz w:val="30"/>
          <w:szCs w:val="30"/>
        </w:rPr>
        <w:sectPr>
          <w:footerReference r:id="rId3" w:type="default"/>
          <w:pgSz w:w="11906" w:h="16838"/>
          <w:pgMar w:top="1440" w:right="1800" w:bottom="1440" w:left="1800" w:header="851" w:footer="992" w:gutter="0"/>
          <w:cols w:space="425" w:num="1"/>
          <w:docGrid w:type="lines" w:linePitch="312" w:charSpace="0"/>
        </w:sectPr>
      </w:pPr>
    </w:p>
    <w:p w14:paraId="544A1A61">
      <w:pPr>
        <w:snapToGrid w:val="0"/>
        <w:jc w:val="center"/>
        <w:rPr>
          <w:rFonts w:ascii="黑体" w:eastAsia="黑体"/>
          <w:spacing w:val="20"/>
          <w:sz w:val="30"/>
          <w:szCs w:val="30"/>
        </w:rPr>
      </w:pPr>
    </w:p>
    <w:p w14:paraId="10C500EE">
      <w:pPr>
        <w:snapToGrid w:val="0"/>
        <w:jc w:val="center"/>
        <w:rPr>
          <w:rFonts w:ascii="黑体" w:eastAsia="黑体"/>
          <w:sz w:val="32"/>
          <w:szCs w:val="32"/>
        </w:rPr>
      </w:pPr>
      <w:r>
        <w:rPr>
          <w:rFonts w:hint="eastAsia" w:ascii="黑体" w:eastAsia="黑体"/>
          <w:spacing w:val="20"/>
          <w:sz w:val="32"/>
          <w:szCs w:val="30"/>
        </w:rPr>
        <w:t>高温气冷堆核动力厂核级高温设备焊接规范 第2部分：产品焊接及热处理</w:t>
      </w:r>
    </w:p>
    <w:p w14:paraId="3525292A">
      <w:pPr>
        <w:numPr>
          <w:ilvl w:val="0"/>
          <w:numId w:val="1"/>
        </w:numPr>
        <w:spacing w:before="240" w:after="240" w:line="360" w:lineRule="auto"/>
        <w:rPr>
          <w:rFonts w:eastAsia="黑体"/>
          <w:sz w:val="28"/>
          <w:szCs w:val="28"/>
        </w:rPr>
      </w:pPr>
      <w:r>
        <w:rPr>
          <w:rFonts w:eastAsia="黑体"/>
          <w:sz w:val="28"/>
          <w:szCs w:val="28"/>
        </w:rPr>
        <w:t>任务来源及计划要求</w:t>
      </w:r>
    </w:p>
    <w:p w14:paraId="3BDFA1F1">
      <w:pPr>
        <w:spacing w:line="360" w:lineRule="auto"/>
        <w:ind w:firstLine="480" w:firstLineChars="200"/>
        <w:rPr>
          <w:rFonts w:ascii="宋体" w:hAnsi="宋体"/>
          <w:color w:val="000000"/>
          <w:kern w:val="0"/>
          <w:sz w:val="24"/>
        </w:rPr>
      </w:pPr>
      <w:r>
        <w:rPr>
          <w:rFonts w:ascii="宋体" w:hAnsi="宋体"/>
          <w:kern w:val="0"/>
          <w:sz w:val="24"/>
          <w:lang w:val="zh-CN"/>
        </w:rPr>
        <w:t>本标准</w:t>
      </w:r>
      <w:r>
        <w:rPr>
          <w:rFonts w:hint="eastAsia" w:ascii="宋体" w:hAnsi="宋体"/>
          <w:kern w:val="0"/>
          <w:sz w:val="24"/>
          <w:lang w:val="zh-CN"/>
        </w:rPr>
        <w:t>制修订</w:t>
      </w:r>
      <w:r>
        <w:rPr>
          <w:rFonts w:ascii="宋体" w:hAnsi="宋体"/>
          <w:kern w:val="0"/>
          <w:sz w:val="24"/>
          <w:lang w:val="zh-CN"/>
        </w:rPr>
        <w:t>任务由</w:t>
      </w:r>
      <w:r>
        <w:rPr>
          <w:rFonts w:hint="eastAsia" w:ascii="宋体" w:hAnsi="宋体"/>
          <w:kern w:val="0"/>
          <w:sz w:val="24"/>
          <w:lang w:val="zh-CN"/>
        </w:rPr>
        <w:t>中国核学会《关于下达202</w:t>
      </w:r>
      <w:r>
        <w:rPr>
          <w:rFonts w:hint="eastAsia" w:ascii="宋体" w:hAnsi="宋体"/>
          <w:kern w:val="0"/>
          <w:sz w:val="24"/>
        </w:rPr>
        <w:t>6</w:t>
      </w:r>
      <w:r>
        <w:rPr>
          <w:rFonts w:hint="eastAsia" w:ascii="宋体" w:hAnsi="宋体"/>
          <w:kern w:val="0"/>
          <w:sz w:val="24"/>
          <w:lang w:val="zh-CN"/>
        </w:rPr>
        <w:t>年度第</w:t>
      </w:r>
      <w:r>
        <w:rPr>
          <w:rFonts w:hint="eastAsia" w:ascii="宋体" w:hAnsi="宋体"/>
          <w:kern w:val="0"/>
          <w:sz w:val="24"/>
        </w:rPr>
        <w:t>二</w:t>
      </w:r>
      <w:r>
        <w:rPr>
          <w:rFonts w:hint="eastAsia" w:ascii="宋体" w:hAnsi="宋体"/>
          <w:kern w:val="0"/>
          <w:sz w:val="24"/>
          <w:lang w:val="zh-CN"/>
        </w:rPr>
        <w:t>批核学会团体标准立项计划的通知》（中核学发【202</w:t>
      </w:r>
      <w:r>
        <w:rPr>
          <w:rFonts w:hint="eastAsia" w:ascii="宋体" w:hAnsi="宋体"/>
          <w:kern w:val="0"/>
          <w:sz w:val="24"/>
        </w:rPr>
        <w:t>6</w:t>
      </w:r>
      <w:r>
        <w:rPr>
          <w:rFonts w:hint="eastAsia" w:ascii="宋体" w:hAnsi="宋体"/>
          <w:kern w:val="0"/>
          <w:sz w:val="24"/>
          <w:lang w:val="zh-CN"/>
        </w:rPr>
        <w:t>】</w:t>
      </w:r>
      <w:r>
        <w:rPr>
          <w:rFonts w:hint="eastAsia" w:ascii="宋体" w:hAnsi="宋体"/>
          <w:kern w:val="0"/>
          <w:sz w:val="24"/>
        </w:rPr>
        <w:t>115</w:t>
      </w:r>
      <w:r>
        <w:rPr>
          <w:rFonts w:hint="eastAsia" w:ascii="宋体" w:hAnsi="宋体"/>
          <w:kern w:val="0"/>
          <w:sz w:val="24"/>
          <w:lang w:val="zh-CN"/>
        </w:rPr>
        <w:t>号）</w:t>
      </w:r>
      <w:r>
        <w:rPr>
          <w:rFonts w:ascii="宋体" w:hAnsi="宋体"/>
          <w:kern w:val="0"/>
          <w:sz w:val="24"/>
          <w:lang w:val="zh-CN"/>
        </w:rPr>
        <w:t>，</w:t>
      </w:r>
      <w:r>
        <w:rPr>
          <w:rFonts w:hint="eastAsia" w:ascii="宋体" w:hAnsi="宋体"/>
          <w:kern w:val="0"/>
          <w:sz w:val="24"/>
          <w:lang w:val="zh-CN"/>
        </w:rPr>
        <w:t>计划</w:t>
      </w:r>
      <w:r>
        <w:rPr>
          <w:rFonts w:ascii="宋体" w:hAnsi="宋体"/>
          <w:kern w:val="0"/>
          <w:sz w:val="24"/>
          <w:lang w:val="zh-CN"/>
        </w:rPr>
        <w:t>编号</w:t>
      </w:r>
      <w:r>
        <w:rPr>
          <w:rFonts w:ascii="宋体" w:hAnsi="宋体"/>
          <w:kern w:val="0"/>
          <w:sz w:val="24"/>
        </w:rPr>
        <w:t>为</w:t>
      </w:r>
      <w:r>
        <w:rPr>
          <w:rFonts w:hint="eastAsia" w:ascii="宋体" w:hAnsi="宋体"/>
          <w:kern w:val="0"/>
          <w:sz w:val="24"/>
        </w:rPr>
        <w:t>HTB2026</w:t>
      </w:r>
      <w:r>
        <w:rPr>
          <w:rFonts w:ascii="宋体" w:hAnsi="宋体"/>
          <w:kern w:val="0"/>
          <w:sz w:val="24"/>
        </w:rPr>
        <w:t>020，</w:t>
      </w:r>
      <w:r>
        <w:rPr>
          <w:rFonts w:hint="eastAsia" w:ascii="宋体" w:hAnsi="宋体"/>
          <w:kern w:val="0"/>
          <w:sz w:val="24"/>
        </w:rPr>
        <w:t>标准计划名称为《高温气冷堆核动力厂核级高温设备焊接规范第</w:t>
      </w:r>
      <w:r>
        <w:rPr>
          <w:rFonts w:ascii="宋体" w:hAnsi="宋体"/>
          <w:kern w:val="0"/>
          <w:sz w:val="24"/>
        </w:rPr>
        <w:t>2</w:t>
      </w:r>
      <w:r>
        <w:rPr>
          <w:rFonts w:hint="eastAsia" w:ascii="宋体" w:hAnsi="宋体"/>
          <w:kern w:val="0"/>
          <w:sz w:val="24"/>
        </w:rPr>
        <w:t>部分：产品焊接及热处理》，</w:t>
      </w:r>
      <w:r>
        <w:rPr>
          <w:rFonts w:ascii="宋体" w:hAnsi="宋体"/>
          <w:kern w:val="0"/>
          <w:sz w:val="24"/>
        </w:rPr>
        <w:t>由</w:t>
      </w:r>
      <w:r>
        <w:rPr>
          <w:rFonts w:hint="eastAsia" w:ascii="宋体" w:hAnsi="宋体"/>
          <w:kern w:val="0"/>
          <w:sz w:val="24"/>
        </w:rPr>
        <w:t>中核能源科技有限公司</w:t>
      </w:r>
      <w:r>
        <w:rPr>
          <w:rFonts w:hint="eastAsia" w:ascii="宋体" w:hAnsi="宋体"/>
          <w:kern w:val="0"/>
          <w:sz w:val="24"/>
          <w:lang w:eastAsia="zh-CN"/>
        </w:rPr>
        <w:t>、清华大学核能与新能源技术研究院、核工业工程研究设计有限公司</w:t>
      </w:r>
      <w:r>
        <w:rPr>
          <w:rFonts w:hint="eastAsia" w:ascii="宋体" w:hAnsi="宋体"/>
          <w:kern w:val="0"/>
          <w:sz w:val="24"/>
        </w:rPr>
        <w:t>起草</w:t>
      </w:r>
      <w:r>
        <w:rPr>
          <w:rFonts w:ascii="宋体" w:hAnsi="宋体"/>
          <w:kern w:val="0"/>
          <w:sz w:val="24"/>
        </w:rPr>
        <w:t>，</w:t>
      </w:r>
      <w:r>
        <w:rPr>
          <w:rFonts w:hint="eastAsia" w:ascii="宋体" w:hAnsi="宋体"/>
          <w:kern w:val="0"/>
          <w:sz w:val="24"/>
        </w:rPr>
        <w:t>要求</w:t>
      </w:r>
      <w:r>
        <w:rPr>
          <w:rFonts w:ascii="宋体" w:hAnsi="宋体"/>
          <w:kern w:val="0"/>
          <w:sz w:val="24"/>
        </w:rPr>
        <w:t>于2027年</w:t>
      </w:r>
      <w:r>
        <w:rPr>
          <w:rFonts w:hint="eastAsia" w:ascii="宋体" w:hAnsi="宋体"/>
          <w:kern w:val="0"/>
          <w:sz w:val="24"/>
          <w:lang w:val="en-US" w:eastAsia="zh-CN"/>
        </w:rPr>
        <w:t>6</w:t>
      </w:r>
      <w:r>
        <w:rPr>
          <w:rFonts w:ascii="宋体" w:hAnsi="宋体"/>
          <w:kern w:val="0"/>
          <w:sz w:val="24"/>
        </w:rPr>
        <w:t>月完成</w:t>
      </w:r>
      <w:r>
        <w:rPr>
          <w:rFonts w:hint="eastAsia" w:ascii="宋体" w:hAnsi="宋体"/>
          <w:kern w:val="0"/>
          <w:sz w:val="24"/>
        </w:rPr>
        <w:t>本项目</w:t>
      </w:r>
      <w:r>
        <w:rPr>
          <w:rFonts w:ascii="宋体" w:hAnsi="宋体"/>
          <w:kern w:val="0"/>
          <w:sz w:val="24"/>
        </w:rPr>
        <w:t>。</w:t>
      </w:r>
    </w:p>
    <w:p w14:paraId="419FF928">
      <w:pPr>
        <w:numPr>
          <w:ilvl w:val="0"/>
          <w:numId w:val="1"/>
        </w:numPr>
        <w:spacing w:before="240" w:after="240" w:line="360" w:lineRule="auto"/>
        <w:rPr>
          <w:rFonts w:eastAsia="黑体"/>
          <w:sz w:val="28"/>
          <w:szCs w:val="28"/>
        </w:rPr>
      </w:pPr>
      <w:r>
        <w:rPr>
          <w:rFonts w:hint="eastAsia" w:eastAsia="黑体"/>
          <w:sz w:val="28"/>
          <w:szCs w:val="28"/>
        </w:rPr>
        <w:t>标准编制组组成</w:t>
      </w:r>
    </w:p>
    <w:p w14:paraId="768EBE23">
      <w:pPr>
        <w:spacing w:line="360" w:lineRule="auto"/>
        <w:ind w:firstLine="480" w:firstLineChars="200"/>
        <w:rPr>
          <w:rFonts w:ascii="宋体" w:hAnsi="宋体"/>
          <w:kern w:val="0"/>
          <w:sz w:val="24"/>
          <w:lang w:val="zh-CN"/>
        </w:rPr>
      </w:pPr>
      <w:r>
        <w:rPr>
          <w:rFonts w:hint="eastAsia" w:ascii="宋体" w:hAnsi="宋体"/>
          <w:kern w:val="0"/>
          <w:sz w:val="24"/>
          <w:lang w:val="zh-CN"/>
        </w:rPr>
        <w:t>本标准起草工作组成员及任务分工见表1。</w:t>
      </w:r>
    </w:p>
    <w:p w14:paraId="256D9540">
      <w:pPr>
        <w:spacing w:line="360" w:lineRule="auto"/>
        <w:ind w:firstLine="480" w:firstLineChars="200"/>
        <w:jc w:val="center"/>
        <w:rPr>
          <w:rFonts w:ascii="宋体" w:hAnsi="宋体"/>
          <w:sz w:val="24"/>
        </w:rPr>
      </w:pPr>
      <w:r>
        <w:rPr>
          <w:rFonts w:hint="eastAsia" w:ascii="宋体" w:hAnsi="宋体"/>
          <w:sz w:val="24"/>
        </w:rPr>
        <w:t xml:space="preserve">表1 </w:t>
      </w:r>
      <w:r>
        <w:rPr>
          <w:rFonts w:ascii="宋体" w:hAnsi="宋体"/>
          <w:sz w:val="24"/>
        </w:rPr>
        <w:t xml:space="preserve"> </w:t>
      </w:r>
      <w:r>
        <w:rPr>
          <w:rFonts w:hint="eastAsia" w:ascii="宋体" w:hAnsi="宋体"/>
          <w:kern w:val="0"/>
          <w:sz w:val="24"/>
          <w:lang w:val="zh-CN"/>
        </w:rPr>
        <w:t>起草工作</w:t>
      </w:r>
      <w:r>
        <w:rPr>
          <w:rFonts w:hint="eastAsia" w:ascii="宋体" w:hAnsi="宋体"/>
          <w:sz w:val="24"/>
        </w:rPr>
        <w:t>组成员及</w:t>
      </w:r>
      <w:r>
        <w:rPr>
          <w:rFonts w:hint="eastAsia" w:ascii="宋体" w:hAnsi="宋体"/>
          <w:kern w:val="0"/>
          <w:sz w:val="24"/>
          <w:lang w:val="zh-CN"/>
        </w:rPr>
        <w:t>任务</w:t>
      </w:r>
      <w:r>
        <w:rPr>
          <w:rFonts w:hint="eastAsia" w:ascii="宋体" w:hAnsi="宋体"/>
          <w:sz w:val="24"/>
        </w:rPr>
        <w:t>分工</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1109"/>
        <w:gridCol w:w="3466"/>
        <w:gridCol w:w="1211"/>
        <w:gridCol w:w="1703"/>
      </w:tblGrid>
      <w:tr w14:paraId="2653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57435D04">
            <w:pPr>
              <w:spacing w:line="360" w:lineRule="auto"/>
              <w:jc w:val="center"/>
              <w:rPr>
                <w:rFonts w:ascii="宋体" w:hAnsi="宋体"/>
                <w:szCs w:val="21"/>
              </w:rPr>
            </w:pPr>
            <w:r>
              <w:rPr>
                <w:rFonts w:hint="eastAsia" w:ascii="宋体" w:hAnsi="宋体"/>
                <w:szCs w:val="21"/>
              </w:rPr>
              <w:t>序号</w:t>
            </w:r>
          </w:p>
        </w:tc>
        <w:tc>
          <w:tcPr>
            <w:tcW w:w="1109" w:type="dxa"/>
          </w:tcPr>
          <w:p w14:paraId="67DB6774">
            <w:pPr>
              <w:spacing w:line="360" w:lineRule="auto"/>
              <w:jc w:val="center"/>
              <w:rPr>
                <w:rFonts w:ascii="宋体" w:hAnsi="宋体"/>
                <w:szCs w:val="21"/>
              </w:rPr>
            </w:pPr>
            <w:r>
              <w:rPr>
                <w:rFonts w:hint="eastAsia" w:ascii="宋体" w:hAnsi="宋体"/>
                <w:szCs w:val="21"/>
              </w:rPr>
              <w:t>姓名</w:t>
            </w:r>
          </w:p>
        </w:tc>
        <w:tc>
          <w:tcPr>
            <w:tcW w:w="3466" w:type="dxa"/>
          </w:tcPr>
          <w:p w14:paraId="1E24855A">
            <w:pPr>
              <w:spacing w:line="360" w:lineRule="auto"/>
              <w:jc w:val="center"/>
              <w:rPr>
                <w:rFonts w:ascii="宋体" w:hAnsi="宋体"/>
                <w:szCs w:val="21"/>
              </w:rPr>
            </w:pPr>
            <w:r>
              <w:rPr>
                <w:rFonts w:hint="eastAsia" w:ascii="宋体" w:hAnsi="宋体"/>
                <w:szCs w:val="21"/>
              </w:rPr>
              <w:t>单位</w:t>
            </w:r>
          </w:p>
        </w:tc>
        <w:tc>
          <w:tcPr>
            <w:tcW w:w="1211" w:type="dxa"/>
          </w:tcPr>
          <w:p w14:paraId="5934D40D">
            <w:pPr>
              <w:spacing w:line="360" w:lineRule="auto"/>
              <w:jc w:val="center"/>
              <w:rPr>
                <w:rFonts w:ascii="宋体" w:hAnsi="宋体"/>
                <w:szCs w:val="21"/>
              </w:rPr>
            </w:pPr>
            <w:r>
              <w:rPr>
                <w:rFonts w:hint="eastAsia" w:ascii="宋体" w:hAnsi="宋体"/>
                <w:szCs w:val="21"/>
              </w:rPr>
              <w:t>职务/职称</w:t>
            </w:r>
          </w:p>
        </w:tc>
        <w:tc>
          <w:tcPr>
            <w:tcW w:w="1703" w:type="dxa"/>
          </w:tcPr>
          <w:p w14:paraId="45C3EC0E">
            <w:pPr>
              <w:spacing w:line="360" w:lineRule="auto"/>
              <w:jc w:val="center"/>
              <w:rPr>
                <w:rFonts w:ascii="宋体" w:hAnsi="宋体"/>
                <w:szCs w:val="21"/>
              </w:rPr>
            </w:pPr>
            <w:r>
              <w:rPr>
                <w:rFonts w:hint="eastAsia" w:ascii="宋体" w:hAnsi="宋体"/>
                <w:szCs w:val="21"/>
              </w:rPr>
              <w:t>任务</w:t>
            </w:r>
          </w:p>
        </w:tc>
      </w:tr>
      <w:tr w14:paraId="3A2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3A8F9028">
            <w:pPr>
              <w:spacing w:line="360" w:lineRule="auto"/>
              <w:jc w:val="center"/>
              <w:rPr>
                <w:rFonts w:ascii="宋体" w:hAnsi="宋体"/>
                <w:szCs w:val="21"/>
              </w:rPr>
            </w:pPr>
            <w:r>
              <w:rPr>
                <w:rFonts w:hint="eastAsia" w:ascii="宋体" w:hAnsi="宋体"/>
                <w:szCs w:val="21"/>
              </w:rPr>
              <w:t>1</w:t>
            </w:r>
          </w:p>
        </w:tc>
        <w:tc>
          <w:tcPr>
            <w:tcW w:w="1109" w:type="dxa"/>
          </w:tcPr>
          <w:p w14:paraId="1EF73D3C">
            <w:pPr>
              <w:spacing w:line="360" w:lineRule="auto"/>
              <w:jc w:val="center"/>
              <w:rPr>
                <w:rFonts w:ascii="宋体" w:hAnsi="宋体"/>
                <w:szCs w:val="21"/>
              </w:rPr>
            </w:pPr>
            <w:r>
              <w:rPr>
                <w:rFonts w:hint="eastAsia"/>
              </w:rPr>
              <w:t>伦辛杰</w:t>
            </w:r>
          </w:p>
        </w:tc>
        <w:tc>
          <w:tcPr>
            <w:tcW w:w="3466" w:type="dxa"/>
          </w:tcPr>
          <w:p w14:paraId="4B013CC0">
            <w:pPr>
              <w:spacing w:line="360" w:lineRule="auto"/>
              <w:jc w:val="center"/>
              <w:rPr>
                <w:rFonts w:ascii="宋体" w:hAnsi="宋体"/>
                <w:szCs w:val="21"/>
              </w:rPr>
            </w:pPr>
            <w:r>
              <w:rPr>
                <w:rFonts w:hint="eastAsia"/>
              </w:rPr>
              <w:t>中核能源科技</w:t>
            </w:r>
            <w:r>
              <w:t>有限公司</w:t>
            </w:r>
          </w:p>
        </w:tc>
        <w:tc>
          <w:tcPr>
            <w:tcW w:w="1211" w:type="dxa"/>
          </w:tcPr>
          <w:p w14:paraId="31836779">
            <w:pPr>
              <w:spacing w:line="360" w:lineRule="auto"/>
              <w:jc w:val="center"/>
              <w:rPr>
                <w:rFonts w:ascii="宋体" w:hAnsi="宋体"/>
                <w:szCs w:val="21"/>
              </w:rPr>
            </w:pPr>
            <w:r>
              <w:rPr>
                <w:rFonts w:hint="eastAsia"/>
              </w:rPr>
              <w:t>高工</w:t>
            </w:r>
          </w:p>
        </w:tc>
        <w:tc>
          <w:tcPr>
            <w:tcW w:w="1703" w:type="dxa"/>
          </w:tcPr>
          <w:p w14:paraId="4ADB2E21">
            <w:pPr>
              <w:spacing w:line="360" w:lineRule="auto"/>
              <w:jc w:val="center"/>
              <w:rPr>
                <w:rFonts w:ascii="宋体" w:hAnsi="宋体"/>
                <w:szCs w:val="21"/>
              </w:rPr>
            </w:pPr>
            <w:r>
              <w:t>编制全文</w:t>
            </w:r>
          </w:p>
        </w:tc>
      </w:tr>
      <w:tr w14:paraId="3E11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2B423FA8">
            <w:pPr>
              <w:spacing w:line="360" w:lineRule="auto"/>
              <w:jc w:val="center"/>
              <w:rPr>
                <w:rFonts w:ascii="宋体" w:hAnsi="宋体"/>
                <w:szCs w:val="21"/>
              </w:rPr>
            </w:pPr>
            <w:r>
              <w:rPr>
                <w:rFonts w:hint="eastAsia" w:ascii="宋体" w:hAnsi="宋体"/>
                <w:szCs w:val="21"/>
              </w:rPr>
              <w:t>2</w:t>
            </w:r>
          </w:p>
        </w:tc>
        <w:tc>
          <w:tcPr>
            <w:tcW w:w="1109" w:type="dxa"/>
          </w:tcPr>
          <w:p w14:paraId="0D9AFBD7">
            <w:pPr>
              <w:spacing w:line="360" w:lineRule="auto"/>
              <w:jc w:val="center"/>
              <w:rPr>
                <w:rFonts w:ascii="宋体" w:hAnsi="宋体"/>
                <w:szCs w:val="21"/>
              </w:rPr>
            </w:pPr>
            <w:r>
              <w:rPr>
                <w:rFonts w:hint="eastAsia"/>
              </w:rPr>
              <w:t>傅激扬</w:t>
            </w:r>
          </w:p>
        </w:tc>
        <w:tc>
          <w:tcPr>
            <w:tcW w:w="3466" w:type="dxa"/>
          </w:tcPr>
          <w:p w14:paraId="5EFB73F9">
            <w:pPr>
              <w:spacing w:line="360" w:lineRule="auto"/>
              <w:jc w:val="center"/>
              <w:rPr>
                <w:rFonts w:ascii="宋体" w:hAnsi="宋体"/>
                <w:szCs w:val="21"/>
              </w:rPr>
            </w:pPr>
            <w:r>
              <w:rPr>
                <w:rFonts w:hint="eastAsia"/>
              </w:rPr>
              <w:t>清华大学核能与新能源技术研究院</w:t>
            </w:r>
          </w:p>
        </w:tc>
        <w:tc>
          <w:tcPr>
            <w:tcW w:w="1211" w:type="dxa"/>
          </w:tcPr>
          <w:p w14:paraId="2C52E4C1">
            <w:pPr>
              <w:spacing w:line="360" w:lineRule="auto"/>
              <w:jc w:val="center"/>
              <w:rPr>
                <w:rFonts w:ascii="宋体" w:hAnsi="宋体"/>
                <w:szCs w:val="21"/>
              </w:rPr>
            </w:pPr>
            <w:r>
              <w:rPr>
                <w:rFonts w:hint="eastAsia"/>
              </w:rPr>
              <w:t>正高</w:t>
            </w:r>
          </w:p>
        </w:tc>
        <w:tc>
          <w:tcPr>
            <w:tcW w:w="1703" w:type="dxa"/>
          </w:tcPr>
          <w:p w14:paraId="4E309C04">
            <w:pPr>
              <w:spacing w:line="360" w:lineRule="auto"/>
              <w:jc w:val="center"/>
              <w:rPr>
                <w:rFonts w:ascii="宋体" w:hAnsi="宋体"/>
                <w:szCs w:val="21"/>
              </w:rPr>
            </w:pPr>
            <w:r>
              <w:t>校核全文</w:t>
            </w:r>
          </w:p>
        </w:tc>
      </w:tr>
      <w:tr w14:paraId="4CB6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3B66BF3C">
            <w:pPr>
              <w:spacing w:line="360" w:lineRule="auto"/>
              <w:jc w:val="center"/>
              <w:rPr>
                <w:rFonts w:ascii="宋体" w:hAnsi="宋体"/>
                <w:szCs w:val="21"/>
              </w:rPr>
            </w:pPr>
            <w:r>
              <w:rPr>
                <w:rFonts w:hint="eastAsia" w:ascii="宋体" w:hAnsi="宋体"/>
                <w:szCs w:val="21"/>
              </w:rPr>
              <w:t>3</w:t>
            </w:r>
          </w:p>
        </w:tc>
        <w:tc>
          <w:tcPr>
            <w:tcW w:w="1109" w:type="dxa"/>
          </w:tcPr>
          <w:p w14:paraId="13279C9A">
            <w:pPr>
              <w:spacing w:line="360" w:lineRule="auto"/>
              <w:jc w:val="center"/>
              <w:rPr>
                <w:rFonts w:ascii="宋体" w:hAnsi="宋体"/>
                <w:szCs w:val="21"/>
              </w:rPr>
            </w:pPr>
            <w:r>
              <w:rPr>
                <w:rFonts w:hint="eastAsia"/>
              </w:rPr>
              <w:t>汪垠</w:t>
            </w:r>
          </w:p>
        </w:tc>
        <w:tc>
          <w:tcPr>
            <w:tcW w:w="3466" w:type="dxa"/>
          </w:tcPr>
          <w:p w14:paraId="213D8EEA">
            <w:pPr>
              <w:spacing w:line="360" w:lineRule="auto"/>
              <w:jc w:val="center"/>
              <w:rPr>
                <w:rFonts w:ascii="宋体" w:hAnsi="宋体"/>
                <w:szCs w:val="21"/>
              </w:rPr>
            </w:pPr>
            <w:r>
              <w:rPr>
                <w:rFonts w:hint="eastAsia"/>
              </w:rPr>
              <w:t>中核能源科技</w:t>
            </w:r>
            <w:r>
              <w:t>有限公司</w:t>
            </w:r>
          </w:p>
        </w:tc>
        <w:tc>
          <w:tcPr>
            <w:tcW w:w="1211" w:type="dxa"/>
          </w:tcPr>
          <w:p w14:paraId="59DCF5BC">
            <w:pPr>
              <w:spacing w:line="360" w:lineRule="auto"/>
              <w:jc w:val="center"/>
              <w:rPr>
                <w:rFonts w:ascii="宋体" w:hAnsi="宋体"/>
                <w:szCs w:val="21"/>
              </w:rPr>
            </w:pPr>
            <w:r>
              <w:rPr>
                <w:rFonts w:hint="eastAsia"/>
              </w:rPr>
              <w:t>正高</w:t>
            </w:r>
          </w:p>
        </w:tc>
        <w:tc>
          <w:tcPr>
            <w:tcW w:w="1703" w:type="dxa"/>
          </w:tcPr>
          <w:p w14:paraId="1133CB5D">
            <w:pPr>
              <w:spacing w:line="360" w:lineRule="auto"/>
              <w:jc w:val="center"/>
              <w:rPr>
                <w:rFonts w:ascii="宋体" w:hAnsi="宋体"/>
                <w:szCs w:val="21"/>
              </w:rPr>
            </w:pPr>
            <w:r>
              <w:t>审定全文</w:t>
            </w:r>
          </w:p>
        </w:tc>
      </w:tr>
      <w:tr w14:paraId="632C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64393805">
            <w:pPr>
              <w:spacing w:line="360" w:lineRule="auto"/>
              <w:jc w:val="center"/>
              <w:rPr>
                <w:rFonts w:ascii="宋体" w:hAnsi="宋体"/>
                <w:szCs w:val="21"/>
              </w:rPr>
            </w:pPr>
            <w:r>
              <w:rPr>
                <w:rFonts w:hint="eastAsia" w:ascii="宋体" w:hAnsi="宋体"/>
                <w:szCs w:val="21"/>
              </w:rPr>
              <w:t>4</w:t>
            </w:r>
          </w:p>
        </w:tc>
        <w:tc>
          <w:tcPr>
            <w:tcW w:w="1109" w:type="dxa"/>
          </w:tcPr>
          <w:p w14:paraId="1F507696">
            <w:pPr>
              <w:spacing w:line="360" w:lineRule="auto"/>
              <w:jc w:val="center"/>
              <w:rPr>
                <w:rFonts w:ascii="宋体" w:hAnsi="宋体"/>
                <w:szCs w:val="21"/>
              </w:rPr>
            </w:pPr>
            <w:r>
              <w:rPr>
                <w:rFonts w:hint="eastAsia"/>
              </w:rPr>
              <w:t>王勇</w:t>
            </w:r>
          </w:p>
        </w:tc>
        <w:tc>
          <w:tcPr>
            <w:tcW w:w="3466" w:type="dxa"/>
          </w:tcPr>
          <w:p w14:paraId="36388F14">
            <w:pPr>
              <w:spacing w:line="360" w:lineRule="auto"/>
              <w:jc w:val="center"/>
              <w:rPr>
                <w:rFonts w:ascii="宋体" w:hAnsi="宋体"/>
                <w:szCs w:val="21"/>
              </w:rPr>
            </w:pPr>
            <w:r>
              <w:rPr>
                <w:rFonts w:hint="eastAsia"/>
              </w:rPr>
              <w:t>中核能源科技</w:t>
            </w:r>
            <w:r>
              <w:t>有限公司</w:t>
            </w:r>
          </w:p>
        </w:tc>
        <w:tc>
          <w:tcPr>
            <w:tcW w:w="1211" w:type="dxa"/>
          </w:tcPr>
          <w:p w14:paraId="0E26E29D">
            <w:pPr>
              <w:spacing w:line="360" w:lineRule="auto"/>
              <w:jc w:val="center"/>
              <w:rPr>
                <w:rFonts w:ascii="宋体" w:hAnsi="宋体"/>
                <w:szCs w:val="21"/>
              </w:rPr>
            </w:pPr>
            <w:r>
              <w:t>高工</w:t>
            </w:r>
          </w:p>
        </w:tc>
        <w:tc>
          <w:tcPr>
            <w:tcW w:w="1703" w:type="dxa"/>
          </w:tcPr>
          <w:p w14:paraId="00D4BE1F">
            <w:pPr>
              <w:spacing w:line="360" w:lineRule="auto"/>
              <w:jc w:val="center"/>
              <w:rPr>
                <w:rFonts w:ascii="宋体" w:hAnsi="宋体"/>
                <w:szCs w:val="21"/>
              </w:rPr>
            </w:pPr>
            <w:r>
              <w:t>参与审核</w:t>
            </w:r>
          </w:p>
        </w:tc>
      </w:tr>
      <w:tr w14:paraId="358A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082F319F">
            <w:pPr>
              <w:spacing w:line="360" w:lineRule="auto"/>
              <w:jc w:val="center"/>
              <w:rPr>
                <w:rFonts w:ascii="宋体" w:hAnsi="宋体"/>
                <w:szCs w:val="21"/>
              </w:rPr>
            </w:pPr>
            <w:r>
              <w:rPr>
                <w:rFonts w:hint="eastAsia" w:ascii="宋体" w:hAnsi="宋体"/>
                <w:szCs w:val="21"/>
              </w:rPr>
              <w:t>5</w:t>
            </w:r>
          </w:p>
        </w:tc>
        <w:tc>
          <w:tcPr>
            <w:tcW w:w="1109" w:type="dxa"/>
          </w:tcPr>
          <w:p w14:paraId="44CA515A">
            <w:pPr>
              <w:spacing w:line="360" w:lineRule="auto"/>
              <w:jc w:val="center"/>
              <w:rPr>
                <w:rFonts w:ascii="宋体" w:hAnsi="宋体"/>
                <w:szCs w:val="21"/>
              </w:rPr>
            </w:pPr>
            <w:r>
              <w:rPr>
                <w:rFonts w:hint="eastAsia"/>
              </w:rPr>
              <w:t>王培河</w:t>
            </w:r>
          </w:p>
        </w:tc>
        <w:tc>
          <w:tcPr>
            <w:tcW w:w="3466" w:type="dxa"/>
          </w:tcPr>
          <w:p w14:paraId="39CD06DC">
            <w:pPr>
              <w:spacing w:line="360" w:lineRule="auto"/>
              <w:jc w:val="center"/>
              <w:rPr>
                <w:rFonts w:ascii="宋体" w:hAnsi="宋体"/>
                <w:szCs w:val="21"/>
              </w:rPr>
            </w:pPr>
            <w:r>
              <w:rPr>
                <w:rFonts w:hint="eastAsia"/>
              </w:rPr>
              <w:t>中核能源科技</w:t>
            </w:r>
            <w:r>
              <w:t>有限公司</w:t>
            </w:r>
          </w:p>
        </w:tc>
        <w:tc>
          <w:tcPr>
            <w:tcW w:w="1211" w:type="dxa"/>
          </w:tcPr>
          <w:p w14:paraId="1FE10960">
            <w:pPr>
              <w:spacing w:line="360" w:lineRule="auto"/>
              <w:jc w:val="center"/>
              <w:rPr>
                <w:rFonts w:ascii="宋体" w:hAnsi="宋体"/>
                <w:szCs w:val="21"/>
              </w:rPr>
            </w:pPr>
            <w:r>
              <w:rPr>
                <w:rFonts w:hint="eastAsia"/>
              </w:rPr>
              <w:t>高工</w:t>
            </w:r>
          </w:p>
        </w:tc>
        <w:tc>
          <w:tcPr>
            <w:tcW w:w="1703" w:type="dxa"/>
          </w:tcPr>
          <w:p w14:paraId="25AA58FE">
            <w:pPr>
              <w:spacing w:line="360" w:lineRule="auto"/>
              <w:jc w:val="center"/>
              <w:rPr>
                <w:rFonts w:ascii="宋体" w:hAnsi="宋体"/>
                <w:szCs w:val="21"/>
              </w:rPr>
            </w:pPr>
            <w:r>
              <w:t>参与审核</w:t>
            </w:r>
          </w:p>
        </w:tc>
      </w:tr>
      <w:tr w14:paraId="6A8E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7FA3933E">
            <w:pPr>
              <w:spacing w:line="360" w:lineRule="auto"/>
              <w:jc w:val="center"/>
              <w:rPr>
                <w:rFonts w:hint="eastAsia" w:ascii="宋体" w:hAnsi="宋体"/>
                <w:szCs w:val="21"/>
              </w:rPr>
            </w:pPr>
            <w:r>
              <w:rPr>
                <w:rFonts w:hint="eastAsia" w:ascii="宋体" w:hAnsi="宋体"/>
                <w:szCs w:val="21"/>
              </w:rPr>
              <w:t>6</w:t>
            </w:r>
          </w:p>
        </w:tc>
        <w:tc>
          <w:tcPr>
            <w:tcW w:w="1109" w:type="dxa"/>
            <w:vAlign w:val="center"/>
          </w:tcPr>
          <w:p w14:paraId="4154AE5B">
            <w:pPr>
              <w:spacing w:line="360" w:lineRule="auto"/>
              <w:jc w:val="center"/>
              <w:rPr>
                <w:rFonts w:hint="eastAsia"/>
              </w:rPr>
            </w:pPr>
            <w:r>
              <w:rPr>
                <w:rFonts w:hint="eastAsia"/>
              </w:rPr>
              <w:t>吴北良</w:t>
            </w:r>
          </w:p>
        </w:tc>
        <w:tc>
          <w:tcPr>
            <w:tcW w:w="3466" w:type="dxa"/>
          </w:tcPr>
          <w:p w14:paraId="68B1A436">
            <w:pPr>
              <w:spacing w:line="360" w:lineRule="auto"/>
              <w:jc w:val="center"/>
              <w:rPr>
                <w:rFonts w:hint="eastAsia"/>
              </w:rPr>
            </w:pPr>
            <w:r>
              <w:rPr>
                <w:rFonts w:hint="eastAsia"/>
              </w:rPr>
              <w:t>中核能源科技</w:t>
            </w:r>
            <w:r>
              <w:t>有限公司</w:t>
            </w:r>
          </w:p>
        </w:tc>
        <w:tc>
          <w:tcPr>
            <w:tcW w:w="1211" w:type="dxa"/>
          </w:tcPr>
          <w:p w14:paraId="01F58C94">
            <w:pPr>
              <w:spacing w:line="360" w:lineRule="auto"/>
              <w:jc w:val="center"/>
              <w:rPr>
                <w:rFonts w:hint="eastAsia"/>
              </w:rPr>
            </w:pPr>
            <w:r>
              <w:rPr>
                <w:rFonts w:hint="eastAsia"/>
              </w:rPr>
              <w:t>工程师</w:t>
            </w:r>
          </w:p>
        </w:tc>
        <w:tc>
          <w:tcPr>
            <w:tcW w:w="1703" w:type="dxa"/>
          </w:tcPr>
          <w:p w14:paraId="441EBEE4">
            <w:pPr>
              <w:spacing w:line="360" w:lineRule="auto"/>
              <w:jc w:val="center"/>
            </w:pPr>
            <w:r>
              <w:t>参与编制</w:t>
            </w:r>
          </w:p>
        </w:tc>
      </w:tr>
      <w:tr w14:paraId="4CF28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18B792D8">
            <w:pPr>
              <w:spacing w:line="360" w:lineRule="auto"/>
              <w:jc w:val="center"/>
              <w:rPr>
                <w:rFonts w:hint="eastAsia" w:ascii="宋体" w:hAnsi="宋体"/>
                <w:szCs w:val="21"/>
              </w:rPr>
            </w:pPr>
            <w:r>
              <w:rPr>
                <w:rFonts w:hint="eastAsia" w:ascii="宋体" w:hAnsi="宋体"/>
                <w:szCs w:val="21"/>
              </w:rPr>
              <w:t>7</w:t>
            </w:r>
          </w:p>
        </w:tc>
        <w:tc>
          <w:tcPr>
            <w:tcW w:w="1109" w:type="dxa"/>
            <w:vAlign w:val="center"/>
          </w:tcPr>
          <w:p w14:paraId="558917AC">
            <w:pPr>
              <w:spacing w:line="360" w:lineRule="auto"/>
              <w:jc w:val="center"/>
              <w:rPr>
                <w:rFonts w:hint="eastAsia"/>
              </w:rPr>
            </w:pPr>
            <w:r>
              <w:rPr>
                <w:rFonts w:hint="eastAsia"/>
              </w:rPr>
              <w:t>吴晔华</w:t>
            </w:r>
          </w:p>
        </w:tc>
        <w:tc>
          <w:tcPr>
            <w:tcW w:w="3466" w:type="dxa"/>
          </w:tcPr>
          <w:p w14:paraId="075E0BF6">
            <w:pPr>
              <w:spacing w:line="360" w:lineRule="auto"/>
              <w:jc w:val="center"/>
              <w:rPr>
                <w:rFonts w:hint="eastAsia"/>
              </w:rPr>
            </w:pPr>
            <w:r>
              <w:rPr>
                <w:rFonts w:hint="eastAsia"/>
              </w:rPr>
              <w:t>核工业工程研究设计有限公司</w:t>
            </w:r>
          </w:p>
        </w:tc>
        <w:tc>
          <w:tcPr>
            <w:tcW w:w="1211" w:type="dxa"/>
          </w:tcPr>
          <w:p w14:paraId="3DFD941D">
            <w:pPr>
              <w:spacing w:line="360" w:lineRule="auto"/>
              <w:jc w:val="center"/>
              <w:rPr>
                <w:rFonts w:hint="eastAsia"/>
              </w:rPr>
            </w:pPr>
            <w:r>
              <w:rPr>
                <w:rFonts w:hint="eastAsia"/>
              </w:rPr>
              <w:t>正高</w:t>
            </w:r>
          </w:p>
        </w:tc>
        <w:tc>
          <w:tcPr>
            <w:tcW w:w="1703" w:type="dxa"/>
          </w:tcPr>
          <w:p w14:paraId="4427FBC5">
            <w:pPr>
              <w:spacing w:line="360" w:lineRule="auto"/>
              <w:jc w:val="center"/>
            </w:pPr>
            <w:r>
              <w:t>参与审核</w:t>
            </w:r>
          </w:p>
        </w:tc>
      </w:tr>
    </w:tbl>
    <w:p w14:paraId="21A400A4">
      <w:pPr>
        <w:numPr>
          <w:ilvl w:val="0"/>
          <w:numId w:val="1"/>
        </w:numPr>
        <w:spacing w:before="240" w:after="240" w:line="360" w:lineRule="auto"/>
        <w:rPr>
          <w:rFonts w:ascii="黑体" w:eastAsia="黑体"/>
          <w:sz w:val="28"/>
          <w:szCs w:val="28"/>
        </w:rPr>
      </w:pPr>
      <w:r>
        <w:rPr>
          <w:rFonts w:hint="eastAsia" w:ascii="黑体" w:eastAsia="黑体"/>
          <w:sz w:val="28"/>
          <w:szCs w:val="28"/>
        </w:rPr>
        <w:t>编制过程</w:t>
      </w:r>
    </w:p>
    <w:p w14:paraId="0F618AE7">
      <w:pPr>
        <w:pStyle w:val="26"/>
        <w:spacing w:after="0" w:line="360" w:lineRule="auto"/>
        <w:ind w:firstLine="480" w:firstLineChars="200"/>
        <w:jc w:val="both"/>
      </w:pPr>
      <w:r>
        <w:rPr>
          <w:rFonts w:hint="eastAsia"/>
        </w:rPr>
        <w:t>本标准的起草过程主要分为前期准备、征求意见稿编制、送审稿编制、报批稿编制阶段。</w:t>
      </w:r>
    </w:p>
    <w:p w14:paraId="20EFCC04">
      <w:pPr>
        <w:spacing w:before="240" w:line="360" w:lineRule="auto"/>
        <w:rPr>
          <w:rFonts w:ascii="黑体" w:hAnsi="黑体" w:eastAsia="黑体"/>
          <w:kern w:val="0"/>
          <w:sz w:val="24"/>
        </w:rPr>
      </w:pPr>
      <w:r>
        <w:rPr>
          <w:rFonts w:hint="eastAsia" w:ascii="黑体" w:hAnsi="黑体" w:eastAsia="黑体"/>
          <w:kern w:val="0"/>
          <w:sz w:val="24"/>
        </w:rPr>
        <w:t>3.1 前期准备（20</w:t>
      </w:r>
      <w:r>
        <w:rPr>
          <w:rFonts w:ascii="黑体" w:hAnsi="黑体" w:eastAsia="黑体"/>
          <w:kern w:val="0"/>
          <w:sz w:val="24"/>
        </w:rPr>
        <w:t>25</w:t>
      </w:r>
      <w:r>
        <w:rPr>
          <w:rFonts w:hint="eastAsia" w:ascii="黑体" w:hAnsi="黑体" w:eastAsia="黑体"/>
          <w:kern w:val="0"/>
          <w:sz w:val="24"/>
        </w:rPr>
        <w:t>年</w:t>
      </w:r>
      <w:r>
        <w:rPr>
          <w:rFonts w:ascii="黑体" w:hAnsi="黑体" w:eastAsia="黑体"/>
          <w:kern w:val="0"/>
          <w:sz w:val="24"/>
        </w:rPr>
        <w:t>10</w:t>
      </w:r>
      <w:r>
        <w:rPr>
          <w:rFonts w:hint="eastAsia" w:ascii="黑体" w:hAnsi="黑体" w:eastAsia="黑体"/>
          <w:kern w:val="0"/>
          <w:sz w:val="24"/>
        </w:rPr>
        <w:t>月-20</w:t>
      </w:r>
      <w:r>
        <w:rPr>
          <w:rFonts w:ascii="黑体" w:hAnsi="黑体" w:eastAsia="黑体"/>
          <w:kern w:val="0"/>
          <w:sz w:val="24"/>
        </w:rPr>
        <w:t>26</w:t>
      </w:r>
      <w:r>
        <w:rPr>
          <w:rFonts w:hint="eastAsia" w:ascii="黑体" w:hAnsi="黑体" w:eastAsia="黑体"/>
          <w:kern w:val="0"/>
          <w:sz w:val="24"/>
        </w:rPr>
        <w:t>年</w:t>
      </w:r>
      <w:r>
        <w:rPr>
          <w:rFonts w:ascii="黑体" w:hAnsi="黑体" w:eastAsia="黑体"/>
          <w:kern w:val="0"/>
          <w:sz w:val="24"/>
        </w:rPr>
        <w:t>5</w:t>
      </w:r>
      <w:r>
        <w:rPr>
          <w:rFonts w:hint="eastAsia" w:ascii="黑体" w:hAnsi="黑体" w:eastAsia="黑体"/>
          <w:kern w:val="0"/>
          <w:sz w:val="24"/>
        </w:rPr>
        <w:t>月）</w:t>
      </w:r>
    </w:p>
    <w:p w14:paraId="671BC930">
      <w:pPr>
        <w:spacing w:line="360" w:lineRule="auto"/>
        <w:ind w:firstLine="480" w:firstLineChars="200"/>
        <w:rPr>
          <w:kern w:val="0"/>
        </w:rPr>
      </w:pPr>
      <w:r>
        <w:rPr>
          <w:rFonts w:hint="eastAsia" w:ascii="宋体" w:hAnsi="宋体"/>
          <w:kern w:val="0"/>
          <w:sz w:val="24"/>
        </w:rPr>
        <w:t>前期准备阶段主要任务是成立</w:t>
      </w:r>
      <w:r>
        <w:rPr>
          <w:rFonts w:hint="eastAsia" w:ascii="宋体" w:hAnsi="宋体"/>
          <w:kern w:val="0"/>
          <w:sz w:val="24"/>
          <w:lang w:val="zh-CN"/>
        </w:rPr>
        <w:t>起草工作</w:t>
      </w:r>
      <w:r>
        <w:rPr>
          <w:rFonts w:hint="eastAsia" w:ascii="宋体" w:hAnsi="宋体"/>
          <w:sz w:val="24"/>
        </w:rPr>
        <w:t>组</w:t>
      </w:r>
      <w:r>
        <w:rPr>
          <w:rFonts w:hint="eastAsia" w:ascii="宋体" w:hAnsi="宋体"/>
          <w:kern w:val="0"/>
          <w:sz w:val="24"/>
        </w:rPr>
        <w:t>、分解工作任务、明确编制进度、收集相关资料、调研分析</w:t>
      </w:r>
      <w:r>
        <w:rPr>
          <w:rFonts w:ascii="宋体" w:hAnsi="宋体"/>
          <w:kern w:val="0"/>
          <w:sz w:val="24"/>
        </w:rPr>
        <w:t>、明确标准编制的进度控制。</w:t>
      </w:r>
    </w:p>
    <w:p w14:paraId="30022568">
      <w:pPr>
        <w:spacing w:line="360" w:lineRule="auto"/>
        <w:ind w:firstLine="480" w:firstLineChars="200"/>
        <w:rPr>
          <w:rFonts w:ascii="宋体" w:hAnsi="宋体"/>
          <w:kern w:val="0"/>
          <w:sz w:val="24"/>
        </w:rPr>
      </w:pPr>
      <w:r>
        <w:rPr>
          <w:rFonts w:ascii="宋体" w:hAnsi="宋体"/>
          <w:kern w:val="0"/>
          <w:sz w:val="24"/>
        </w:rPr>
        <w:t>在前期准备阶段成立标准编制小组和明确工作任务后，首先消化吸收</w:t>
      </w:r>
      <w:r>
        <w:rPr>
          <w:rFonts w:hint="eastAsia" w:ascii="宋体" w:hAnsi="宋体"/>
          <w:kern w:val="0"/>
          <w:sz w:val="24"/>
        </w:rPr>
        <w:t>中核能源科技</w:t>
      </w:r>
      <w:r>
        <w:rPr>
          <w:rFonts w:ascii="宋体" w:hAnsi="宋体"/>
          <w:kern w:val="0"/>
          <w:sz w:val="24"/>
        </w:rPr>
        <w:t>有限公司编制的相关技术要求，及</w:t>
      </w:r>
      <w:r>
        <w:rPr>
          <w:rFonts w:hint="eastAsia" w:ascii="宋体" w:hAnsi="宋体"/>
          <w:kern w:val="0"/>
          <w:sz w:val="24"/>
        </w:rPr>
        <w:t>清华大学核能与新能源技术研究院</w:t>
      </w:r>
      <w:r>
        <w:rPr>
          <w:rFonts w:ascii="宋体" w:hAnsi="宋体"/>
          <w:kern w:val="0"/>
          <w:sz w:val="24"/>
        </w:rPr>
        <w:t>编制的</w:t>
      </w:r>
      <w:r>
        <w:rPr>
          <w:rFonts w:hint="eastAsia" w:ascii="宋体" w:hAnsi="宋体"/>
          <w:kern w:val="0"/>
          <w:sz w:val="24"/>
        </w:rPr>
        <w:t>相关技术规格书</w:t>
      </w:r>
      <w:r>
        <w:rPr>
          <w:rFonts w:ascii="宋体" w:hAnsi="宋体"/>
          <w:kern w:val="0"/>
          <w:sz w:val="24"/>
        </w:rPr>
        <w:t>；收集了国标（GB）和能源标准（NB）有关的</w:t>
      </w:r>
      <w:r>
        <w:rPr>
          <w:rFonts w:hint="eastAsia" w:ascii="宋体" w:hAnsi="宋体"/>
          <w:kern w:val="0"/>
          <w:sz w:val="24"/>
        </w:rPr>
        <w:t>焊接相关</w:t>
      </w:r>
      <w:r>
        <w:rPr>
          <w:rFonts w:ascii="宋体" w:hAnsi="宋体"/>
          <w:kern w:val="0"/>
          <w:sz w:val="24"/>
        </w:rPr>
        <w:t>标准，并对上述所有标准进行了研究和分析，确立编制标准的构架以及技术内容。</w:t>
      </w:r>
      <w:r>
        <w:rPr>
          <w:rFonts w:hint="eastAsia" w:ascii="宋体" w:hAnsi="宋体"/>
          <w:kern w:val="0"/>
          <w:sz w:val="24"/>
        </w:rPr>
        <w:t>根据专家的建议，计划编制高温气冷堆核动力厂核级高温设备焊接规范为系列标准，主要系列标准包括：</w:t>
      </w:r>
    </w:p>
    <w:p w14:paraId="5D61E0FE">
      <w:pPr>
        <w:spacing w:line="360" w:lineRule="auto"/>
        <w:ind w:firstLine="480" w:firstLineChars="200"/>
        <w:rPr>
          <w:rFonts w:ascii="宋体" w:hAnsi="宋体"/>
          <w:kern w:val="0"/>
          <w:sz w:val="24"/>
        </w:rPr>
      </w:pPr>
      <w:r>
        <w:rPr>
          <w:rFonts w:hint="eastAsia" w:ascii="宋体" w:hAnsi="宋体"/>
          <w:kern w:val="0"/>
          <w:sz w:val="24"/>
        </w:rPr>
        <w:t>高温气冷堆核动力厂核级高温设备焊接规范 第1部分 通用要求（2</w:t>
      </w:r>
      <w:r>
        <w:rPr>
          <w:rFonts w:ascii="宋体" w:hAnsi="宋体"/>
          <w:kern w:val="0"/>
          <w:sz w:val="24"/>
        </w:rPr>
        <w:t>026</w:t>
      </w:r>
      <w:r>
        <w:rPr>
          <w:rFonts w:hint="eastAsia" w:ascii="宋体" w:hAnsi="宋体"/>
          <w:kern w:val="0"/>
          <w:sz w:val="24"/>
        </w:rPr>
        <w:t>年）</w:t>
      </w:r>
    </w:p>
    <w:p w14:paraId="0F0164CA">
      <w:pPr>
        <w:spacing w:line="360" w:lineRule="auto"/>
        <w:ind w:firstLine="480" w:firstLineChars="200"/>
        <w:rPr>
          <w:rFonts w:ascii="宋体" w:hAnsi="宋体"/>
          <w:kern w:val="0"/>
          <w:sz w:val="24"/>
        </w:rPr>
      </w:pPr>
      <w:r>
        <w:rPr>
          <w:rFonts w:hint="eastAsia" w:ascii="宋体" w:hAnsi="宋体"/>
          <w:kern w:val="0"/>
          <w:sz w:val="24"/>
        </w:rPr>
        <w:t>高温气冷堆核动力厂核级高温设备焊接规范 第</w:t>
      </w:r>
      <w:r>
        <w:rPr>
          <w:rFonts w:ascii="宋体" w:hAnsi="宋体"/>
          <w:kern w:val="0"/>
          <w:sz w:val="24"/>
        </w:rPr>
        <w:t>2</w:t>
      </w:r>
      <w:r>
        <w:rPr>
          <w:rFonts w:hint="eastAsia" w:ascii="宋体" w:hAnsi="宋体"/>
          <w:kern w:val="0"/>
          <w:sz w:val="24"/>
        </w:rPr>
        <w:t>部分 产品焊接与热处理（2</w:t>
      </w:r>
      <w:r>
        <w:rPr>
          <w:rFonts w:ascii="宋体" w:hAnsi="宋体"/>
          <w:kern w:val="0"/>
          <w:sz w:val="24"/>
        </w:rPr>
        <w:t>026</w:t>
      </w:r>
      <w:r>
        <w:rPr>
          <w:rFonts w:hint="eastAsia" w:ascii="宋体" w:hAnsi="宋体"/>
          <w:kern w:val="0"/>
          <w:sz w:val="24"/>
        </w:rPr>
        <w:t>年）</w:t>
      </w:r>
    </w:p>
    <w:p w14:paraId="43845E2B">
      <w:pPr>
        <w:spacing w:line="360" w:lineRule="auto"/>
        <w:ind w:firstLine="480" w:firstLineChars="200"/>
        <w:rPr>
          <w:rFonts w:ascii="宋体" w:hAnsi="宋体"/>
          <w:kern w:val="0"/>
          <w:sz w:val="24"/>
        </w:rPr>
      </w:pPr>
      <w:r>
        <w:rPr>
          <w:rFonts w:hint="eastAsia" w:ascii="宋体" w:hAnsi="宋体"/>
          <w:kern w:val="0"/>
          <w:sz w:val="24"/>
        </w:rPr>
        <w:t>高温气冷堆核动力厂核级高温设备焊接规范 第</w:t>
      </w:r>
      <w:r>
        <w:rPr>
          <w:rFonts w:ascii="宋体" w:hAnsi="宋体"/>
          <w:kern w:val="0"/>
          <w:sz w:val="24"/>
        </w:rPr>
        <w:t>3</w:t>
      </w:r>
      <w:r>
        <w:rPr>
          <w:rFonts w:hint="eastAsia" w:ascii="宋体" w:hAnsi="宋体"/>
          <w:kern w:val="0"/>
          <w:sz w:val="24"/>
        </w:rPr>
        <w:t>部分 焊接工艺评定（2</w:t>
      </w:r>
      <w:r>
        <w:rPr>
          <w:rFonts w:ascii="宋体" w:hAnsi="宋体"/>
          <w:kern w:val="0"/>
          <w:sz w:val="24"/>
        </w:rPr>
        <w:t>027</w:t>
      </w:r>
      <w:r>
        <w:rPr>
          <w:rFonts w:hint="eastAsia" w:ascii="宋体" w:hAnsi="宋体"/>
          <w:kern w:val="0"/>
          <w:sz w:val="24"/>
        </w:rPr>
        <w:t>年）</w:t>
      </w:r>
    </w:p>
    <w:p w14:paraId="481D67B8">
      <w:pPr>
        <w:spacing w:line="360" w:lineRule="auto"/>
        <w:ind w:firstLine="480" w:firstLineChars="200"/>
        <w:rPr>
          <w:rFonts w:ascii="宋体" w:hAnsi="宋体"/>
          <w:kern w:val="0"/>
          <w:sz w:val="24"/>
        </w:rPr>
      </w:pPr>
      <w:r>
        <w:rPr>
          <w:rFonts w:hint="eastAsia" w:ascii="宋体" w:hAnsi="宋体"/>
          <w:kern w:val="0"/>
          <w:sz w:val="24"/>
        </w:rPr>
        <w:t>高温气冷堆核动力厂核级高温设备焊接规范 第</w:t>
      </w:r>
      <w:r>
        <w:rPr>
          <w:rFonts w:ascii="宋体" w:hAnsi="宋体"/>
          <w:kern w:val="0"/>
          <w:sz w:val="24"/>
        </w:rPr>
        <w:t>4</w:t>
      </w:r>
      <w:r>
        <w:rPr>
          <w:rFonts w:hint="eastAsia" w:ascii="宋体" w:hAnsi="宋体"/>
          <w:kern w:val="0"/>
          <w:sz w:val="24"/>
        </w:rPr>
        <w:t>部分 产品焊接见证件（2</w:t>
      </w:r>
      <w:r>
        <w:rPr>
          <w:rFonts w:ascii="宋体" w:hAnsi="宋体"/>
          <w:kern w:val="0"/>
          <w:sz w:val="24"/>
        </w:rPr>
        <w:t>027</w:t>
      </w:r>
      <w:r>
        <w:rPr>
          <w:rFonts w:hint="eastAsia" w:ascii="宋体" w:hAnsi="宋体"/>
          <w:kern w:val="0"/>
          <w:sz w:val="24"/>
        </w:rPr>
        <w:t>年）</w:t>
      </w:r>
    </w:p>
    <w:p w14:paraId="2B20DE5A">
      <w:pPr>
        <w:spacing w:line="360" w:lineRule="auto"/>
        <w:ind w:firstLine="480" w:firstLineChars="200"/>
        <w:rPr>
          <w:rFonts w:ascii="宋体" w:hAnsi="宋体"/>
          <w:kern w:val="0"/>
          <w:sz w:val="24"/>
        </w:rPr>
      </w:pPr>
      <w:r>
        <w:rPr>
          <w:rFonts w:hint="eastAsia" w:ascii="宋体" w:hAnsi="宋体"/>
          <w:kern w:val="0"/>
          <w:sz w:val="24"/>
        </w:rPr>
        <w:t>高温气冷堆核动力厂核级高温设备焊接规范 第</w:t>
      </w:r>
      <w:r>
        <w:rPr>
          <w:rFonts w:ascii="宋体" w:hAnsi="宋体"/>
          <w:kern w:val="0"/>
          <w:sz w:val="24"/>
        </w:rPr>
        <w:t>5</w:t>
      </w:r>
      <w:r>
        <w:rPr>
          <w:rFonts w:hint="eastAsia" w:ascii="宋体" w:hAnsi="宋体"/>
          <w:kern w:val="0"/>
          <w:sz w:val="24"/>
        </w:rPr>
        <w:t>部分 焊接检验（2</w:t>
      </w:r>
      <w:r>
        <w:rPr>
          <w:rFonts w:ascii="宋体" w:hAnsi="宋体"/>
          <w:kern w:val="0"/>
          <w:sz w:val="24"/>
        </w:rPr>
        <w:t>027</w:t>
      </w:r>
      <w:r>
        <w:rPr>
          <w:rFonts w:hint="eastAsia" w:ascii="宋体" w:hAnsi="宋体"/>
          <w:kern w:val="0"/>
          <w:sz w:val="24"/>
        </w:rPr>
        <w:t>年）</w:t>
      </w:r>
    </w:p>
    <w:p w14:paraId="26FEFABD">
      <w:pPr>
        <w:spacing w:line="360" w:lineRule="auto"/>
        <w:ind w:firstLine="480" w:firstLineChars="200"/>
        <w:rPr>
          <w:rFonts w:ascii="宋体" w:hAnsi="宋体"/>
          <w:kern w:val="0"/>
          <w:sz w:val="24"/>
        </w:rPr>
      </w:pPr>
      <w:r>
        <w:rPr>
          <w:rFonts w:hint="eastAsia" w:ascii="宋体" w:hAnsi="宋体"/>
          <w:kern w:val="0"/>
          <w:sz w:val="24"/>
        </w:rPr>
        <w:t>高温气冷堆核动力厂核级高温设备焊接规范 第</w:t>
      </w:r>
      <w:r>
        <w:rPr>
          <w:rFonts w:ascii="宋体" w:hAnsi="宋体"/>
          <w:kern w:val="0"/>
          <w:sz w:val="24"/>
        </w:rPr>
        <w:t>6</w:t>
      </w:r>
      <w:r>
        <w:rPr>
          <w:rFonts w:hint="eastAsia" w:ascii="宋体" w:hAnsi="宋体"/>
          <w:kern w:val="0"/>
          <w:sz w:val="24"/>
        </w:rPr>
        <w:t>部分 支吊架焊接接头（2</w:t>
      </w:r>
      <w:r>
        <w:rPr>
          <w:rFonts w:ascii="宋体" w:hAnsi="宋体"/>
          <w:kern w:val="0"/>
          <w:sz w:val="24"/>
        </w:rPr>
        <w:t>026</w:t>
      </w:r>
      <w:r>
        <w:rPr>
          <w:rFonts w:hint="eastAsia" w:ascii="宋体" w:hAnsi="宋体"/>
          <w:kern w:val="0"/>
          <w:sz w:val="24"/>
        </w:rPr>
        <w:t>年）</w:t>
      </w:r>
    </w:p>
    <w:p w14:paraId="1EE5E88C">
      <w:pPr>
        <w:spacing w:line="360" w:lineRule="auto"/>
        <w:ind w:firstLine="480" w:firstLineChars="200"/>
        <w:rPr>
          <w:rFonts w:ascii="宋体" w:hAnsi="宋体"/>
          <w:kern w:val="0"/>
          <w:sz w:val="24"/>
        </w:rPr>
      </w:pPr>
      <w:r>
        <w:rPr>
          <w:rFonts w:hint="eastAsia" w:ascii="宋体" w:hAnsi="宋体"/>
          <w:kern w:val="0"/>
          <w:sz w:val="24"/>
        </w:rPr>
        <w:t>高温气冷堆核动力厂核级高温设备焊接规范 第</w:t>
      </w:r>
      <w:r>
        <w:rPr>
          <w:rFonts w:ascii="宋体" w:hAnsi="宋体"/>
          <w:kern w:val="0"/>
          <w:sz w:val="24"/>
        </w:rPr>
        <w:t>7</w:t>
      </w:r>
      <w:r>
        <w:rPr>
          <w:rFonts w:hint="eastAsia" w:ascii="宋体" w:hAnsi="宋体"/>
          <w:kern w:val="0"/>
          <w:sz w:val="24"/>
        </w:rPr>
        <w:t>部分 不锈钢焊丝材料（2</w:t>
      </w:r>
      <w:r>
        <w:rPr>
          <w:rFonts w:ascii="宋体" w:hAnsi="宋体"/>
          <w:kern w:val="0"/>
          <w:sz w:val="24"/>
        </w:rPr>
        <w:t>028</w:t>
      </w:r>
      <w:r>
        <w:rPr>
          <w:rFonts w:hint="eastAsia" w:ascii="宋体" w:hAnsi="宋体"/>
          <w:kern w:val="0"/>
          <w:sz w:val="24"/>
        </w:rPr>
        <w:t>年）</w:t>
      </w:r>
    </w:p>
    <w:p w14:paraId="75170C10">
      <w:pPr>
        <w:spacing w:line="360" w:lineRule="auto"/>
        <w:ind w:firstLine="480" w:firstLineChars="200"/>
        <w:rPr>
          <w:rFonts w:ascii="宋体" w:hAnsi="宋体"/>
          <w:kern w:val="0"/>
          <w:sz w:val="24"/>
        </w:rPr>
      </w:pPr>
      <w:r>
        <w:rPr>
          <w:rFonts w:hint="eastAsia" w:ascii="宋体" w:hAnsi="宋体"/>
          <w:kern w:val="0"/>
          <w:sz w:val="24"/>
        </w:rPr>
        <w:t>高温气冷堆核动力厂核级高温设备焊接规范 第</w:t>
      </w:r>
      <w:r>
        <w:rPr>
          <w:rFonts w:ascii="宋体" w:hAnsi="宋体"/>
          <w:kern w:val="0"/>
          <w:sz w:val="24"/>
        </w:rPr>
        <w:t>8</w:t>
      </w:r>
      <w:r>
        <w:rPr>
          <w:rFonts w:hint="eastAsia" w:ascii="宋体" w:hAnsi="宋体"/>
          <w:kern w:val="0"/>
          <w:sz w:val="24"/>
        </w:rPr>
        <w:t>部分 低合金钢焊丝材料（2</w:t>
      </w:r>
      <w:r>
        <w:rPr>
          <w:rFonts w:ascii="宋体" w:hAnsi="宋体"/>
          <w:kern w:val="0"/>
          <w:sz w:val="24"/>
        </w:rPr>
        <w:t>028</w:t>
      </w:r>
      <w:r>
        <w:rPr>
          <w:rFonts w:hint="eastAsia" w:ascii="宋体" w:hAnsi="宋体"/>
          <w:kern w:val="0"/>
          <w:sz w:val="24"/>
        </w:rPr>
        <w:t>年）</w:t>
      </w:r>
    </w:p>
    <w:p w14:paraId="1036AD6A">
      <w:pPr>
        <w:spacing w:line="360" w:lineRule="auto"/>
        <w:ind w:firstLine="480" w:firstLineChars="200"/>
        <w:rPr>
          <w:rFonts w:ascii="宋体" w:hAnsi="宋体"/>
          <w:kern w:val="0"/>
          <w:sz w:val="24"/>
        </w:rPr>
      </w:pPr>
      <w:r>
        <w:rPr>
          <w:rFonts w:hint="eastAsia" w:ascii="宋体" w:hAnsi="宋体"/>
          <w:kern w:val="0"/>
          <w:sz w:val="24"/>
        </w:rPr>
        <w:t>高温气冷堆核动力厂核级高温设备焊接规范 第</w:t>
      </w:r>
      <w:r>
        <w:rPr>
          <w:rFonts w:ascii="宋体" w:hAnsi="宋体"/>
          <w:kern w:val="0"/>
          <w:sz w:val="24"/>
        </w:rPr>
        <w:t>9</w:t>
      </w:r>
      <w:r>
        <w:rPr>
          <w:rFonts w:hint="eastAsia" w:ascii="宋体" w:hAnsi="宋体"/>
          <w:kern w:val="0"/>
          <w:sz w:val="24"/>
        </w:rPr>
        <w:t>部分 低合金钢焊条材料（2</w:t>
      </w:r>
      <w:r>
        <w:rPr>
          <w:rFonts w:ascii="宋体" w:hAnsi="宋体"/>
          <w:kern w:val="0"/>
          <w:sz w:val="24"/>
        </w:rPr>
        <w:t>028</w:t>
      </w:r>
      <w:r>
        <w:rPr>
          <w:rFonts w:hint="eastAsia" w:ascii="宋体" w:hAnsi="宋体"/>
          <w:kern w:val="0"/>
          <w:sz w:val="24"/>
        </w:rPr>
        <w:t>年）</w:t>
      </w:r>
    </w:p>
    <w:p w14:paraId="1CA768B1">
      <w:pPr>
        <w:spacing w:line="360" w:lineRule="auto"/>
        <w:ind w:firstLine="480" w:firstLineChars="200"/>
        <w:rPr>
          <w:rFonts w:ascii="宋体" w:hAnsi="宋体"/>
          <w:kern w:val="0"/>
          <w:sz w:val="24"/>
        </w:rPr>
      </w:pPr>
      <w:r>
        <w:rPr>
          <w:rFonts w:hint="eastAsia" w:ascii="宋体" w:hAnsi="宋体"/>
          <w:kern w:val="0"/>
          <w:sz w:val="24"/>
        </w:rPr>
        <w:t>高温气冷堆核动力厂核级高温设备焊接规范 第</w:t>
      </w:r>
      <w:r>
        <w:rPr>
          <w:rFonts w:ascii="宋体" w:hAnsi="宋体"/>
          <w:kern w:val="0"/>
          <w:sz w:val="24"/>
        </w:rPr>
        <w:t>10</w:t>
      </w:r>
      <w:r>
        <w:rPr>
          <w:rFonts w:hint="eastAsia" w:ascii="宋体" w:hAnsi="宋体"/>
          <w:kern w:val="0"/>
          <w:sz w:val="24"/>
        </w:rPr>
        <w:t>部分镍基合金焊丝材料（2</w:t>
      </w:r>
      <w:r>
        <w:rPr>
          <w:rFonts w:ascii="宋体" w:hAnsi="宋体"/>
          <w:kern w:val="0"/>
          <w:sz w:val="24"/>
        </w:rPr>
        <w:t>028</w:t>
      </w:r>
      <w:r>
        <w:rPr>
          <w:rFonts w:hint="eastAsia" w:ascii="宋体" w:hAnsi="宋体"/>
          <w:kern w:val="0"/>
          <w:sz w:val="24"/>
        </w:rPr>
        <w:t>年）</w:t>
      </w:r>
    </w:p>
    <w:p w14:paraId="5D681615">
      <w:pPr>
        <w:spacing w:line="360" w:lineRule="auto"/>
        <w:ind w:firstLine="480" w:firstLineChars="200"/>
        <w:rPr>
          <w:rFonts w:ascii="宋体" w:hAnsi="宋体"/>
          <w:kern w:val="0"/>
          <w:sz w:val="24"/>
        </w:rPr>
      </w:pPr>
      <w:r>
        <w:rPr>
          <w:rFonts w:hint="eastAsia" w:ascii="宋体" w:hAnsi="宋体"/>
          <w:kern w:val="0"/>
          <w:sz w:val="24"/>
        </w:rPr>
        <w:t>本标准为系列标准的第二部分，</w:t>
      </w:r>
      <w:r>
        <w:rPr>
          <w:rFonts w:ascii="宋体" w:hAnsi="宋体"/>
          <w:kern w:val="0"/>
          <w:sz w:val="24"/>
        </w:rPr>
        <w:t>根据核电标准体系研究的前期工作分析结果，确定了本标准编制的进度安排。</w:t>
      </w:r>
    </w:p>
    <w:p w14:paraId="0CC8EDD1">
      <w:pPr>
        <w:spacing w:before="240" w:line="360" w:lineRule="auto"/>
        <w:rPr>
          <w:rFonts w:ascii="黑体" w:hAnsi="黑体" w:eastAsia="黑体"/>
          <w:kern w:val="0"/>
          <w:sz w:val="24"/>
        </w:rPr>
      </w:pPr>
      <w:r>
        <w:rPr>
          <w:rFonts w:hint="eastAsia" w:ascii="黑体" w:hAnsi="黑体" w:eastAsia="黑体"/>
          <w:kern w:val="0"/>
          <w:sz w:val="24"/>
        </w:rPr>
        <w:t>3.2 征求意见稿编制（20</w:t>
      </w:r>
      <w:r>
        <w:rPr>
          <w:rFonts w:ascii="黑体" w:hAnsi="黑体" w:eastAsia="黑体"/>
          <w:kern w:val="0"/>
          <w:sz w:val="24"/>
        </w:rPr>
        <w:t>25</w:t>
      </w:r>
      <w:r>
        <w:rPr>
          <w:rFonts w:hint="eastAsia" w:ascii="黑体" w:hAnsi="黑体" w:eastAsia="黑体"/>
          <w:kern w:val="0"/>
          <w:sz w:val="24"/>
        </w:rPr>
        <w:t>年</w:t>
      </w:r>
      <w:r>
        <w:rPr>
          <w:rFonts w:ascii="黑体" w:hAnsi="黑体" w:eastAsia="黑体"/>
          <w:kern w:val="0"/>
          <w:sz w:val="24"/>
        </w:rPr>
        <w:t>11</w:t>
      </w:r>
      <w:r>
        <w:rPr>
          <w:rFonts w:hint="eastAsia" w:ascii="黑体" w:hAnsi="黑体" w:eastAsia="黑体"/>
          <w:kern w:val="0"/>
          <w:sz w:val="24"/>
        </w:rPr>
        <w:t>月-20</w:t>
      </w:r>
      <w:r>
        <w:rPr>
          <w:rFonts w:ascii="黑体" w:hAnsi="黑体" w:eastAsia="黑体"/>
          <w:kern w:val="0"/>
          <w:sz w:val="24"/>
        </w:rPr>
        <w:t>26</w:t>
      </w:r>
      <w:r>
        <w:rPr>
          <w:rFonts w:hint="eastAsia" w:ascii="黑体" w:hAnsi="黑体" w:eastAsia="黑体"/>
          <w:kern w:val="0"/>
          <w:sz w:val="24"/>
        </w:rPr>
        <w:t>年</w:t>
      </w:r>
      <w:r>
        <w:rPr>
          <w:rFonts w:ascii="黑体" w:hAnsi="黑体" w:eastAsia="黑体"/>
          <w:kern w:val="0"/>
          <w:sz w:val="24"/>
        </w:rPr>
        <w:t>5</w:t>
      </w:r>
      <w:r>
        <w:rPr>
          <w:rFonts w:hint="eastAsia" w:ascii="黑体" w:hAnsi="黑体" w:eastAsia="黑体"/>
          <w:kern w:val="0"/>
          <w:sz w:val="24"/>
        </w:rPr>
        <w:t>月）</w:t>
      </w:r>
    </w:p>
    <w:p w14:paraId="0A5E65D8">
      <w:pPr>
        <w:spacing w:line="360" w:lineRule="auto"/>
        <w:ind w:firstLine="480" w:firstLineChars="200"/>
        <w:rPr>
          <w:rFonts w:ascii="宋体" w:hAnsi="宋体"/>
          <w:kern w:val="0"/>
          <w:sz w:val="24"/>
        </w:rPr>
      </w:pPr>
      <w:r>
        <w:rPr>
          <w:rFonts w:ascii="宋体" w:hAnsi="宋体"/>
          <w:kern w:val="0"/>
          <w:sz w:val="24"/>
        </w:rPr>
        <w:t>在上述调研分析的基础上同时结合国内实际情况，起草了本标准的征求意见稿。在征求意见稿完成后，在具体章节编写过程中，对于标准内容的定位和合理安排问题主编单位向各参编单位征求了相关意见。并对反馈意见主编单位内部进行多次反复讨论和修改，</w:t>
      </w:r>
      <w:r>
        <w:rPr>
          <w:rFonts w:hint="eastAsia" w:ascii="宋体" w:hAnsi="宋体"/>
          <w:kern w:val="0"/>
          <w:sz w:val="24"/>
        </w:rPr>
        <w:t>至2</w:t>
      </w:r>
      <w:r>
        <w:rPr>
          <w:rFonts w:ascii="宋体" w:hAnsi="宋体"/>
          <w:kern w:val="0"/>
          <w:sz w:val="24"/>
        </w:rPr>
        <w:t>026</w:t>
      </w:r>
      <w:r>
        <w:rPr>
          <w:rFonts w:hint="eastAsia" w:ascii="宋体" w:hAnsi="宋体"/>
          <w:kern w:val="0"/>
          <w:sz w:val="24"/>
        </w:rPr>
        <w:t>年</w:t>
      </w:r>
      <w:r>
        <w:rPr>
          <w:rFonts w:ascii="宋体" w:hAnsi="宋体"/>
          <w:kern w:val="0"/>
          <w:sz w:val="24"/>
        </w:rPr>
        <w:t>0</w:t>
      </w:r>
      <w:r>
        <w:rPr>
          <w:rFonts w:hint="eastAsia" w:ascii="宋体" w:hAnsi="宋体"/>
          <w:kern w:val="0"/>
          <w:sz w:val="24"/>
          <w:lang w:val="en-US" w:eastAsia="zh-CN"/>
        </w:rPr>
        <w:t>5</w:t>
      </w:r>
      <w:r>
        <w:rPr>
          <w:rFonts w:hint="eastAsia" w:ascii="宋体" w:hAnsi="宋体"/>
          <w:kern w:val="0"/>
          <w:sz w:val="24"/>
        </w:rPr>
        <w:t>月</w:t>
      </w:r>
      <w:r>
        <w:rPr>
          <w:rFonts w:ascii="宋体" w:hAnsi="宋体"/>
          <w:kern w:val="0"/>
          <w:sz w:val="24"/>
        </w:rPr>
        <w:t>最终形成本标准征求意见稿。</w:t>
      </w:r>
    </w:p>
    <w:p w14:paraId="25797C67">
      <w:pPr>
        <w:numPr>
          <w:ilvl w:val="0"/>
          <w:numId w:val="1"/>
        </w:numPr>
        <w:spacing w:before="240" w:after="240" w:line="360" w:lineRule="auto"/>
        <w:rPr>
          <w:rFonts w:ascii="黑体" w:hAnsi="黑体" w:eastAsia="黑体"/>
          <w:kern w:val="0"/>
          <w:sz w:val="24"/>
        </w:rPr>
      </w:pPr>
      <w:r>
        <w:rPr>
          <w:rFonts w:hint="eastAsia" w:ascii="黑体" w:eastAsia="黑体"/>
          <w:sz w:val="28"/>
          <w:szCs w:val="28"/>
        </w:rPr>
        <w:t>标准编写原则和主要内容</w:t>
      </w:r>
      <w:bookmarkStart w:id="0" w:name="_Toc361734314"/>
    </w:p>
    <w:bookmarkEnd w:id="0"/>
    <w:p w14:paraId="42D9830E">
      <w:pPr>
        <w:spacing w:before="240" w:line="360" w:lineRule="auto"/>
        <w:rPr>
          <w:rFonts w:ascii="黑体" w:hAnsi="黑体" w:eastAsia="黑体"/>
          <w:kern w:val="0"/>
          <w:sz w:val="24"/>
        </w:rPr>
      </w:pPr>
      <w:bookmarkStart w:id="1" w:name="_Toc361669937"/>
      <w:bookmarkEnd w:id="1"/>
      <w:bookmarkStart w:id="2" w:name="_Toc361734315"/>
      <w:r>
        <w:rPr>
          <w:rFonts w:hint="eastAsia" w:ascii="黑体" w:hAnsi="黑体" w:eastAsia="黑体"/>
          <w:kern w:val="0"/>
          <w:sz w:val="24"/>
        </w:rPr>
        <w:t>4.1 起草原则</w:t>
      </w:r>
      <w:bookmarkEnd w:id="2"/>
    </w:p>
    <w:p w14:paraId="0547C805">
      <w:pPr>
        <w:spacing w:line="360" w:lineRule="auto"/>
        <w:ind w:firstLine="480"/>
        <w:rPr>
          <w:rFonts w:asciiTheme="majorEastAsia" w:hAnsiTheme="majorEastAsia" w:eastAsiaTheme="majorEastAsia"/>
          <w:sz w:val="24"/>
          <w:szCs w:val="28"/>
          <w:lang w:val="de-DE"/>
        </w:rPr>
      </w:pPr>
      <w:r>
        <w:rPr>
          <w:rFonts w:hint="eastAsia" w:asciiTheme="minorEastAsia" w:hAnsiTheme="minorEastAsia"/>
          <w:sz w:val="24"/>
          <w:szCs w:val="28"/>
          <w:lang w:val="de-DE"/>
        </w:rPr>
        <w:t>本标准的起草严格遵照国家核安全技术法规导则，并与现行相关国家标准、行业标准保持协调一致。本标准</w:t>
      </w:r>
      <w:r>
        <w:rPr>
          <w:rFonts w:hint="eastAsia" w:asciiTheme="majorEastAsia" w:hAnsiTheme="majorEastAsia" w:eastAsiaTheme="majorEastAsia"/>
          <w:sz w:val="24"/>
          <w:szCs w:val="28"/>
          <w:lang w:val="de-DE"/>
        </w:rPr>
        <w:t xml:space="preserve">按照GB/T 1.1—2020《标准化工作导则 </w:t>
      </w:r>
      <w:r>
        <w:rPr>
          <w:rFonts w:asciiTheme="majorEastAsia" w:hAnsiTheme="majorEastAsia" w:eastAsiaTheme="majorEastAsia"/>
          <w:sz w:val="24"/>
          <w:szCs w:val="28"/>
          <w:lang w:val="de-DE"/>
        </w:rPr>
        <w:t xml:space="preserve"> </w:t>
      </w:r>
      <w:r>
        <w:rPr>
          <w:rFonts w:hint="eastAsia" w:asciiTheme="majorEastAsia" w:hAnsiTheme="majorEastAsia" w:eastAsiaTheme="majorEastAsia"/>
          <w:sz w:val="24"/>
          <w:szCs w:val="28"/>
          <w:lang w:val="de-DE"/>
        </w:rPr>
        <w:t>第1部分：标准化文件的结构和起草规则》的规定起草。</w:t>
      </w:r>
    </w:p>
    <w:p w14:paraId="6FC23DFE">
      <w:pPr>
        <w:spacing w:before="240" w:line="360" w:lineRule="auto"/>
        <w:rPr>
          <w:rFonts w:ascii="黑体" w:hAnsi="黑体" w:eastAsia="黑体"/>
          <w:kern w:val="0"/>
          <w:sz w:val="24"/>
        </w:rPr>
      </w:pPr>
      <w:r>
        <w:rPr>
          <w:rFonts w:hint="eastAsia" w:ascii="黑体" w:hAnsi="黑体" w:eastAsia="黑体"/>
          <w:kern w:val="0"/>
          <w:sz w:val="24"/>
        </w:rPr>
        <w:t>4.2主要内容</w:t>
      </w:r>
      <w:bookmarkStart w:id="3" w:name="_GoBack"/>
      <w:bookmarkEnd w:id="3"/>
    </w:p>
    <w:p w14:paraId="489DF6F9">
      <w:pPr>
        <w:spacing w:before="240" w:line="360" w:lineRule="auto"/>
        <w:ind w:firstLine="480" w:firstLineChars="200"/>
        <w:rPr>
          <w:rFonts w:ascii="黑体" w:hAnsi="黑体" w:eastAsia="黑体"/>
          <w:kern w:val="0"/>
          <w:sz w:val="24"/>
        </w:rPr>
      </w:pPr>
      <w:r>
        <w:rPr>
          <w:rFonts w:hint="eastAsia" w:ascii="黑体" w:hAnsi="黑体" w:eastAsia="黑体"/>
          <w:kern w:val="0"/>
          <w:sz w:val="24"/>
        </w:rPr>
        <w:t>1、主要技术</w:t>
      </w:r>
      <w:r>
        <w:rPr>
          <w:rFonts w:ascii="黑体" w:hAnsi="黑体" w:eastAsia="黑体"/>
          <w:kern w:val="0"/>
          <w:sz w:val="24"/>
        </w:rPr>
        <w:t>内容</w:t>
      </w:r>
      <w:r>
        <w:rPr>
          <w:rFonts w:hint="eastAsia" w:ascii="黑体" w:hAnsi="黑体" w:eastAsia="黑体"/>
          <w:kern w:val="0"/>
          <w:sz w:val="24"/>
        </w:rPr>
        <w:t>说明</w:t>
      </w:r>
    </w:p>
    <w:p w14:paraId="5D7BEFF9">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按章节顺序，详细说明各技术要求及其提出原则或考虑，以及确定各技术要素的依据。</w:t>
      </w:r>
    </w:p>
    <w:p w14:paraId="66FCF0C1">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下面按标准的条文顺序对标准内容说明如下。</w:t>
      </w:r>
    </w:p>
    <w:p w14:paraId="10AD0983">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（1）</w:t>
      </w:r>
      <w:r>
        <w:rPr>
          <w:rFonts w:asciiTheme="minorEastAsia" w:hAnsiTheme="minorEastAsia"/>
          <w:sz w:val="24"/>
          <w:szCs w:val="28"/>
          <w:lang w:val="de-DE"/>
        </w:rPr>
        <w:t>标准结构范围</w:t>
      </w:r>
    </w:p>
    <w:p w14:paraId="5952A18F">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本标准主要由范围、规范性引用文件、术语和定义、焊材的烘干、存放和使用、待焊部件准备、焊接、焊缝返修、质量保证和控制、供货方提供的文件等</w:t>
      </w:r>
      <w:r>
        <w:rPr>
          <w:rFonts w:hint="eastAsia" w:asciiTheme="minorEastAsia" w:hAnsiTheme="minorEastAsia"/>
          <w:sz w:val="24"/>
          <w:szCs w:val="28"/>
          <w:lang w:val="de-DE"/>
        </w:rPr>
        <w:t>9</w:t>
      </w:r>
      <w:r>
        <w:rPr>
          <w:rFonts w:asciiTheme="minorEastAsia" w:hAnsiTheme="minorEastAsia"/>
          <w:sz w:val="24"/>
          <w:szCs w:val="28"/>
          <w:lang w:val="de-DE"/>
        </w:rPr>
        <w:t>个部分组成。本标准主要规定了</w:t>
      </w:r>
      <w:r>
        <w:rPr>
          <w:rFonts w:hint="eastAsia" w:asciiTheme="minorEastAsia" w:hAnsiTheme="minorEastAsia"/>
          <w:sz w:val="24"/>
          <w:szCs w:val="28"/>
          <w:lang w:val="de-DE"/>
        </w:rPr>
        <w:t>球床式高温气冷堆（以下简称：高温气冷堆）核动力厂核级</w:t>
      </w:r>
      <w:r>
        <w:rPr>
          <w:rFonts w:asciiTheme="minorEastAsia" w:hAnsiTheme="minorEastAsia"/>
          <w:sz w:val="24"/>
          <w:szCs w:val="28"/>
          <w:lang w:val="de-DE"/>
        </w:rPr>
        <w:t>高温设备的产品</w:t>
      </w:r>
      <w:r>
        <w:rPr>
          <w:rFonts w:hint="eastAsia" w:asciiTheme="minorEastAsia" w:hAnsiTheme="minorEastAsia"/>
          <w:sz w:val="24"/>
          <w:szCs w:val="28"/>
          <w:lang w:val="de-DE"/>
        </w:rPr>
        <w:t>焊接</w:t>
      </w:r>
      <w:r>
        <w:rPr>
          <w:rFonts w:asciiTheme="minorEastAsia" w:hAnsiTheme="minorEastAsia"/>
          <w:sz w:val="24"/>
          <w:szCs w:val="28"/>
          <w:lang w:val="de-DE"/>
        </w:rPr>
        <w:t>及热处理要求</w:t>
      </w:r>
      <w:r>
        <w:rPr>
          <w:rFonts w:hint="eastAsia" w:asciiTheme="minorEastAsia" w:hAnsiTheme="minorEastAsia"/>
          <w:sz w:val="24"/>
          <w:szCs w:val="28"/>
          <w:lang w:val="de-DE"/>
        </w:rPr>
        <w:t>。</w:t>
      </w:r>
    </w:p>
    <w:p w14:paraId="520CC2EA">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（2）</w:t>
      </w:r>
      <w:r>
        <w:rPr>
          <w:rFonts w:asciiTheme="minorEastAsia" w:hAnsiTheme="minorEastAsia"/>
          <w:sz w:val="24"/>
          <w:szCs w:val="28"/>
          <w:lang w:val="de-DE"/>
        </w:rPr>
        <w:t>规范性引用文件</w:t>
      </w:r>
    </w:p>
    <w:p w14:paraId="4E9E6E4A">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规范性引用文件按照团体标准的统一导语，并根据被引用标准的情况，对所引用的标准采用不注日期引用和注日期引用。</w:t>
      </w:r>
    </w:p>
    <w:p w14:paraId="2EF9DA36">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（3）术语</w:t>
      </w:r>
      <w:r>
        <w:rPr>
          <w:rFonts w:asciiTheme="minorEastAsia" w:hAnsiTheme="minorEastAsia"/>
          <w:sz w:val="24"/>
          <w:szCs w:val="28"/>
          <w:lang w:val="de-DE"/>
        </w:rPr>
        <w:t>和定义</w:t>
      </w:r>
    </w:p>
    <w:p w14:paraId="42350E7A">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术语</w:t>
      </w:r>
      <w:r>
        <w:rPr>
          <w:rFonts w:asciiTheme="minorEastAsia" w:hAnsiTheme="minorEastAsia"/>
          <w:sz w:val="24"/>
          <w:szCs w:val="28"/>
          <w:lang w:val="de-DE"/>
        </w:rPr>
        <w:t>和定义直接引用标准中的规定。</w:t>
      </w:r>
    </w:p>
    <w:p w14:paraId="08793564">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（4）焊材的烘干、存放和使用</w:t>
      </w:r>
    </w:p>
    <w:p w14:paraId="2D01F35A">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本</w:t>
      </w:r>
      <w:r>
        <w:rPr>
          <w:rFonts w:hint="eastAsia" w:asciiTheme="minorEastAsia" w:hAnsiTheme="minorEastAsia"/>
          <w:sz w:val="24"/>
          <w:szCs w:val="28"/>
          <w:lang w:val="de-DE"/>
        </w:rPr>
        <w:t>部分主要是焊接材料的烘干、 存放和使用的相关规定</w:t>
      </w:r>
      <w:r>
        <w:rPr>
          <w:rFonts w:asciiTheme="minorEastAsia" w:hAnsiTheme="minorEastAsia"/>
          <w:sz w:val="24"/>
          <w:szCs w:val="28"/>
          <w:lang w:val="de-DE"/>
        </w:rPr>
        <w:t>。</w:t>
      </w:r>
    </w:p>
    <w:p w14:paraId="3EE19C1C">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（5）待焊部件准备</w:t>
      </w:r>
    </w:p>
    <w:p w14:paraId="702EC4E5">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包括</w:t>
      </w:r>
      <w:r>
        <w:rPr>
          <w:rFonts w:asciiTheme="minorEastAsia" w:hAnsiTheme="minorEastAsia"/>
          <w:sz w:val="24"/>
          <w:szCs w:val="28"/>
          <w:lang w:val="de-DE"/>
        </w:rPr>
        <w:t>坡口准备、待焊坡口检验、部件装配和对中的要求</w:t>
      </w:r>
      <w:r>
        <w:rPr>
          <w:rFonts w:hint="eastAsia" w:asciiTheme="minorEastAsia" w:hAnsiTheme="minorEastAsia"/>
          <w:sz w:val="24"/>
          <w:szCs w:val="28"/>
          <w:lang w:val="de-DE"/>
        </w:rPr>
        <w:t>。</w:t>
      </w:r>
    </w:p>
    <w:p w14:paraId="4D448684">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（6）焊接</w:t>
      </w:r>
    </w:p>
    <w:p w14:paraId="58E96392">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从一般要求、仪器仪表、焊接参数的验证、熔池的保护、清根焊缝和封底焊缝、清洁度、多层焊、锤击、焊接过程中的检查、焊缝打磨、焊后检查及预热后热和焊后热处理等几个方面，提出具体要求</w:t>
      </w:r>
      <w:r>
        <w:rPr>
          <w:rFonts w:asciiTheme="minorEastAsia" w:hAnsiTheme="minorEastAsia"/>
          <w:sz w:val="24"/>
          <w:szCs w:val="28"/>
          <w:lang w:val="de-DE"/>
        </w:rPr>
        <w:t>。</w:t>
      </w:r>
    </w:p>
    <w:p w14:paraId="0C9DCE48">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（7）焊缝</w:t>
      </w:r>
      <w:r>
        <w:rPr>
          <w:rFonts w:asciiTheme="minorEastAsia" w:hAnsiTheme="minorEastAsia"/>
          <w:sz w:val="24"/>
          <w:szCs w:val="28"/>
          <w:lang w:val="de-DE"/>
        </w:rPr>
        <w:t>返修</w:t>
      </w:r>
    </w:p>
    <w:p w14:paraId="1CFF4566">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包括允许的返修次数、缺陷定位及去除、去除后的检验、补焊及补焊后的无损检验等，对整个焊缝返修流程进行了规定。</w:t>
      </w:r>
    </w:p>
    <w:p w14:paraId="08161819">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（8）质量</w:t>
      </w:r>
      <w:r>
        <w:rPr>
          <w:rFonts w:asciiTheme="minorEastAsia" w:hAnsiTheme="minorEastAsia"/>
          <w:sz w:val="24"/>
          <w:szCs w:val="28"/>
          <w:lang w:val="de-DE"/>
        </w:rPr>
        <w:t>保证和控制</w:t>
      </w:r>
    </w:p>
    <w:p w14:paraId="52A739D8">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规定了制造方的资质许可要求，并按照规定制定并有效实施质量保证大纲。</w:t>
      </w:r>
    </w:p>
    <w:p w14:paraId="7462E73C">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（9）供货</w:t>
      </w:r>
      <w:r>
        <w:rPr>
          <w:rFonts w:asciiTheme="minorEastAsia" w:hAnsiTheme="minorEastAsia"/>
          <w:sz w:val="24"/>
          <w:szCs w:val="28"/>
          <w:lang w:val="de-DE"/>
        </w:rPr>
        <w:t>方提供的文件</w:t>
      </w:r>
    </w:p>
    <w:p w14:paraId="44D62958">
      <w:pPr>
        <w:spacing w:line="360" w:lineRule="auto"/>
        <w:ind w:firstLine="480"/>
        <w:rPr>
          <w:rFonts w:hint="eastAsia" w:asciiTheme="minorEastAsia" w:hAnsiTheme="minorEastAsia"/>
          <w:sz w:val="24"/>
          <w:szCs w:val="28"/>
          <w:lang w:val="de-DE"/>
        </w:rPr>
      </w:pPr>
      <w:r>
        <w:rPr>
          <w:rFonts w:asciiTheme="minorEastAsia" w:hAnsiTheme="minorEastAsia"/>
          <w:sz w:val="24"/>
          <w:szCs w:val="28"/>
          <w:lang w:val="de-DE"/>
        </w:rPr>
        <w:t>本节给出了</w:t>
      </w:r>
      <w:r>
        <w:rPr>
          <w:rFonts w:hint="eastAsia" w:asciiTheme="minorEastAsia" w:hAnsiTheme="minorEastAsia"/>
          <w:sz w:val="24"/>
          <w:szCs w:val="28"/>
          <w:lang w:val="de-DE"/>
        </w:rPr>
        <w:t>焊接及热处理产生的相关文件</w:t>
      </w:r>
      <w:r>
        <w:rPr>
          <w:rFonts w:asciiTheme="minorEastAsia" w:hAnsiTheme="minorEastAsia"/>
          <w:sz w:val="24"/>
          <w:szCs w:val="28"/>
          <w:lang w:val="de-DE"/>
        </w:rPr>
        <w:t>。</w:t>
      </w:r>
    </w:p>
    <w:p w14:paraId="025AD923">
      <w:pPr>
        <w:spacing w:before="240" w:line="360" w:lineRule="auto"/>
        <w:ind w:firstLine="480" w:firstLineChars="200"/>
        <w:rPr>
          <w:rFonts w:ascii="黑体" w:hAnsi="黑体" w:eastAsia="黑体"/>
          <w:kern w:val="0"/>
          <w:sz w:val="24"/>
        </w:rPr>
      </w:pPr>
      <w:r>
        <w:rPr>
          <w:rFonts w:hint="eastAsia" w:ascii="黑体" w:hAnsi="黑体" w:eastAsia="黑体"/>
          <w:kern w:val="0"/>
          <w:sz w:val="24"/>
        </w:rPr>
        <w:t>2、修订说明（如修订项目）</w:t>
      </w:r>
    </w:p>
    <w:p w14:paraId="61899AB1">
      <w:pPr>
        <w:spacing w:line="360" w:lineRule="auto"/>
        <w:ind w:firstLine="480"/>
        <w:rPr>
          <w:rFonts w:asciiTheme="minorEastAsia" w:hAnsiTheme="minorEastAsia"/>
          <w:sz w:val="28"/>
        </w:rPr>
      </w:pPr>
      <w:r>
        <w:rPr>
          <w:rFonts w:hint="eastAsia" w:ascii="Calibri" w:hAnsi="Calibri" w:eastAsia="宋体" w:cs="Times New Roman"/>
          <w:sz w:val="24"/>
        </w:rPr>
        <w:t>无。</w:t>
      </w:r>
    </w:p>
    <w:p w14:paraId="79C0E63B">
      <w:pPr>
        <w:numPr>
          <w:ilvl w:val="0"/>
          <w:numId w:val="1"/>
        </w:numPr>
        <w:spacing w:before="240" w:after="240" w:line="360" w:lineRule="auto"/>
        <w:rPr>
          <w:rFonts w:ascii="黑体" w:hAnsi="宋体" w:eastAsia="黑体"/>
          <w:sz w:val="28"/>
          <w:szCs w:val="28"/>
        </w:rPr>
      </w:pPr>
      <w:r>
        <w:rPr>
          <w:rFonts w:hint="eastAsia" w:ascii="黑体" w:hAnsi="宋体" w:eastAsia="黑体"/>
          <w:sz w:val="28"/>
          <w:szCs w:val="28"/>
        </w:rPr>
        <w:t>国内外相关标准现状分析</w:t>
      </w:r>
    </w:p>
    <w:p w14:paraId="3B04901A">
      <w:pPr>
        <w:spacing w:before="240" w:line="360" w:lineRule="auto"/>
        <w:ind w:firstLine="480" w:firstLineChars="200"/>
        <w:rPr>
          <w:rFonts w:ascii="黑体" w:hAnsi="黑体" w:eastAsia="黑体"/>
          <w:kern w:val="0"/>
          <w:sz w:val="24"/>
        </w:rPr>
      </w:pPr>
      <w:r>
        <w:rPr>
          <w:rFonts w:ascii="黑体" w:hAnsi="黑体" w:eastAsia="黑体"/>
          <w:kern w:val="0"/>
          <w:sz w:val="24"/>
        </w:rPr>
        <w:t>5</w:t>
      </w:r>
      <w:r>
        <w:rPr>
          <w:rFonts w:hint="eastAsia" w:ascii="黑体" w:hAnsi="黑体" w:eastAsia="黑体"/>
          <w:kern w:val="0"/>
          <w:sz w:val="24"/>
        </w:rPr>
        <w:t>.1 我国相关标准现状分析</w:t>
      </w:r>
    </w:p>
    <w:p w14:paraId="3918FF66">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针对</w:t>
      </w:r>
      <w:r>
        <w:rPr>
          <w:rFonts w:hint="eastAsia" w:asciiTheme="minorEastAsia" w:hAnsiTheme="minorEastAsia"/>
          <w:sz w:val="24"/>
          <w:szCs w:val="28"/>
          <w:lang w:val="de-DE"/>
        </w:rPr>
        <w:t>核级设备产品焊接及热处理工作</w:t>
      </w:r>
      <w:r>
        <w:rPr>
          <w:rFonts w:asciiTheme="minorEastAsia" w:hAnsiTheme="minorEastAsia"/>
          <w:sz w:val="24"/>
          <w:szCs w:val="28"/>
          <w:lang w:val="de-DE"/>
        </w:rPr>
        <w:t>，国内目前的标准主要是</w:t>
      </w:r>
      <w:r>
        <w:rPr>
          <w:rFonts w:hint="eastAsia" w:asciiTheme="minorEastAsia" w:hAnsiTheme="minorEastAsia"/>
          <w:sz w:val="24"/>
          <w:szCs w:val="28"/>
          <w:lang w:val="de-DE"/>
        </w:rPr>
        <w:t>“NB</w:t>
      </w:r>
      <w:r>
        <w:rPr>
          <w:rFonts w:asciiTheme="minorEastAsia" w:hAnsiTheme="minorEastAsia"/>
          <w:sz w:val="24"/>
          <w:szCs w:val="28"/>
          <w:lang w:val="de-DE"/>
        </w:rPr>
        <w:t>/</w:t>
      </w:r>
      <w:r>
        <w:rPr>
          <w:rFonts w:hint="eastAsia" w:asciiTheme="minorEastAsia" w:hAnsiTheme="minorEastAsia"/>
          <w:sz w:val="24"/>
          <w:szCs w:val="28"/>
          <w:lang w:val="de-DE"/>
        </w:rPr>
        <w:t>T 20002压水堆核电厂核岛机械设备焊接规范”</w:t>
      </w:r>
      <w:r>
        <w:rPr>
          <w:rFonts w:asciiTheme="minorEastAsia" w:hAnsiTheme="minorEastAsia"/>
          <w:sz w:val="24"/>
          <w:szCs w:val="28"/>
          <w:lang w:val="de-DE"/>
        </w:rPr>
        <w:t>，这</w:t>
      </w:r>
      <w:r>
        <w:rPr>
          <w:rFonts w:hint="eastAsia" w:asciiTheme="minorEastAsia" w:hAnsiTheme="minorEastAsia"/>
          <w:sz w:val="24"/>
          <w:szCs w:val="28"/>
          <w:lang w:val="de-DE"/>
        </w:rPr>
        <w:t>个</w:t>
      </w:r>
      <w:r>
        <w:rPr>
          <w:rFonts w:asciiTheme="minorEastAsia" w:hAnsiTheme="minorEastAsia"/>
          <w:sz w:val="24"/>
          <w:szCs w:val="28"/>
          <w:lang w:val="de-DE"/>
        </w:rPr>
        <w:t>标准</w:t>
      </w:r>
      <w:r>
        <w:rPr>
          <w:rFonts w:hint="eastAsia" w:asciiTheme="minorEastAsia" w:hAnsiTheme="minorEastAsia"/>
          <w:sz w:val="24"/>
          <w:szCs w:val="28"/>
          <w:lang w:val="de-DE"/>
        </w:rPr>
        <w:t>为压水堆专用，未涉及高温设备。</w:t>
      </w:r>
    </w:p>
    <w:p w14:paraId="0F0AD09D">
      <w:pPr>
        <w:spacing w:before="240" w:line="360" w:lineRule="auto"/>
        <w:ind w:firstLine="480" w:firstLineChars="200"/>
        <w:rPr>
          <w:rFonts w:ascii="黑体" w:hAnsi="黑体" w:eastAsia="黑体"/>
          <w:kern w:val="0"/>
          <w:sz w:val="24"/>
        </w:rPr>
      </w:pPr>
      <w:r>
        <w:rPr>
          <w:rFonts w:ascii="黑体" w:hAnsi="黑体" w:eastAsia="黑体"/>
          <w:kern w:val="0"/>
          <w:sz w:val="24"/>
        </w:rPr>
        <w:t>5.2 国外相关标准现状分析</w:t>
      </w:r>
    </w:p>
    <w:p w14:paraId="0C18C02B">
      <w:pPr>
        <w:spacing w:line="360" w:lineRule="auto"/>
        <w:ind w:firstLine="480"/>
        <w:rPr>
          <w:rFonts w:asciiTheme="minorEastAsia" w:hAnsiTheme="minorEastAsia"/>
          <w:color w:val="0000FF"/>
          <w:sz w:val="24"/>
          <w:szCs w:val="28"/>
        </w:rPr>
      </w:pPr>
      <w:r>
        <w:rPr>
          <w:rFonts w:asciiTheme="minorEastAsia" w:hAnsiTheme="minorEastAsia"/>
          <w:sz w:val="24"/>
          <w:szCs w:val="28"/>
          <w:lang w:val="de-DE"/>
        </w:rPr>
        <w:t>针对</w:t>
      </w:r>
      <w:r>
        <w:rPr>
          <w:rFonts w:hint="eastAsia" w:asciiTheme="minorEastAsia" w:hAnsiTheme="minorEastAsia"/>
          <w:sz w:val="24"/>
          <w:szCs w:val="28"/>
          <w:lang w:val="de-DE"/>
        </w:rPr>
        <w:t>核级设备</w:t>
      </w:r>
      <w:r>
        <w:rPr>
          <w:rFonts w:asciiTheme="minorEastAsia" w:hAnsiTheme="minorEastAsia"/>
          <w:sz w:val="24"/>
          <w:szCs w:val="28"/>
          <w:lang w:val="de-DE"/>
        </w:rPr>
        <w:t>产品</w:t>
      </w:r>
      <w:r>
        <w:rPr>
          <w:rFonts w:hint="eastAsia" w:asciiTheme="minorEastAsia" w:hAnsiTheme="minorEastAsia"/>
          <w:sz w:val="24"/>
          <w:szCs w:val="28"/>
          <w:lang w:val="de-DE"/>
        </w:rPr>
        <w:t>焊接及热处理，R</w:t>
      </w:r>
      <w:r>
        <w:rPr>
          <w:rFonts w:asciiTheme="minorEastAsia" w:hAnsiTheme="minorEastAsia"/>
          <w:sz w:val="24"/>
          <w:szCs w:val="28"/>
          <w:lang w:val="de-DE"/>
        </w:rPr>
        <w:t xml:space="preserve">CC-M </w:t>
      </w:r>
      <w:r>
        <w:rPr>
          <w:rFonts w:hint="eastAsia" w:asciiTheme="minorEastAsia" w:hAnsiTheme="minorEastAsia"/>
          <w:sz w:val="24"/>
          <w:szCs w:val="28"/>
          <w:lang w:val="de-DE"/>
        </w:rPr>
        <w:t>第Ⅳ卷 S篇是NB</w:t>
      </w:r>
      <w:r>
        <w:rPr>
          <w:rFonts w:asciiTheme="minorEastAsia" w:hAnsiTheme="minorEastAsia"/>
          <w:sz w:val="24"/>
          <w:szCs w:val="28"/>
          <w:lang w:val="de-DE"/>
        </w:rPr>
        <w:t>/</w:t>
      </w:r>
      <w:r>
        <w:rPr>
          <w:rFonts w:hint="eastAsia" w:asciiTheme="minorEastAsia" w:hAnsiTheme="minorEastAsia"/>
          <w:sz w:val="24"/>
          <w:szCs w:val="28"/>
          <w:lang w:val="de-DE"/>
        </w:rPr>
        <w:t>T 20002的编制依据，同样的要求不能涵盖高温设备，与中国的国情和监管要求有一定差距</w:t>
      </w:r>
      <w:r>
        <w:rPr>
          <w:rFonts w:asciiTheme="minorEastAsia" w:hAnsiTheme="minorEastAsia"/>
          <w:sz w:val="24"/>
          <w:szCs w:val="28"/>
          <w:lang w:val="de-DE"/>
        </w:rPr>
        <w:t>。</w:t>
      </w:r>
    </w:p>
    <w:p w14:paraId="795446D6">
      <w:pPr>
        <w:numPr>
          <w:ilvl w:val="0"/>
          <w:numId w:val="1"/>
        </w:numPr>
        <w:spacing w:before="240" w:after="240" w:line="360" w:lineRule="auto"/>
        <w:rPr>
          <w:rFonts w:ascii="黑体" w:hAnsi="宋体" w:eastAsia="黑体"/>
          <w:sz w:val="28"/>
          <w:szCs w:val="28"/>
        </w:rPr>
      </w:pPr>
      <w:r>
        <w:rPr>
          <w:rFonts w:hint="eastAsia" w:ascii="黑体" w:hAnsi="宋体" w:eastAsia="黑体"/>
          <w:sz w:val="28"/>
          <w:szCs w:val="28"/>
        </w:rPr>
        <w:t>主要</w:t>
      </w:r>
      <w:r>
        <w:rPr>
          <w:rFonts w:ascii="黑体" w:hAnsi="宋体" w:eastAsia="黑体"/>
          <w:sz w:val="28"/>
          <w:szCs w:val="28"/>
        </w:rPr>
        <w:t>试验验证</w:t>
      </w:r>
      <w:r>
        <w:rPr>
          <w:rFonts w:hint="eastAsia" w:ascii="黑体" w:hAnsi="宋体" w:eastAsia="黑体"/>
          <w:sz w:val="28"/>
          <w:szCs w:val="28"/>
        </w:rPr>
        <w:t>情况和预期达到的效果</w:t>
      </w:r>
    </w:p>
    <w:p w14:paraId="359F49B4">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高温气冷堆与压水堆的运行方式、设备构成及高温要求有较大区别，为推广高温气冷堆，焊接是工程建设的难点，通过本系列标准，确保焊接的施工单位或设备制造单位具备高质量焊接能力，确保焊接质量，保障高温气冷堆的安全性和可靠性。</w:t>
      </w:r>
    </w:p>
    <w:p w14:paraId="3ADB5888">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高温堆缺乏可执行的标准，类似以R</w:t>
      </w:r>
      <w:r>
        <w:rPr>
          <w:rFonts w:asciiTheme="minorEastAsia" w:hAnsiTheme="minorEastAsia"/>
          <w:sz w:val="24"/>
          <w:szCs w:val="28"/>
          <w:lang w:val="de-DE"/>
        </w:rPr>
        <w:t>CC-M</w:t>
      </w:r>
      <w:r>
        <w:rPr>
          <w:rFonts w:hint="eastAsia" w:asciiTheme="minorEastAsia" w:hAnsiTheme="minorEastAsia"/>
          <w:sz w:val="24"/>
          <w:szCs w:val="28"/>
          <w:lang w:val="de-DE"/>
        </w:rPr>
        <w:t>为蓝本的标准为“NB</w:t>
      </w:r>
      <w:r>
        <w:rPr>
          <w:rFonts w:asciiTheme="minorEastAsia" w:hAnsiTheme="minorEastAsia"/>
          <w:sz w:val="24"/>
          <w:szCs w:val="28"/>
          <w:lang w:val="de-DE"/>
        </w:rPr>
        <w:t>/</w:t>
      </w:r>
      <w:r>
        <w:rPr>
          <w:rFonts w:hint="eastAsia" w:asciiTheme="minorEastAsia" w:hAnsiTheme="minorEastAsia"/>
          <w:sz w:val="24"/>
          <w:szCs w:val="28"/>
          <w:lang w:val="de-DE"/>
        </w:rPr>
        <w:t>T 20002压水堆核电厂核岛机械设备焊接规范”，为压水堆专用，现在高温堆施工现场及设备采购中实际执行的是中核能源科技有限公司发布的焊接相关系列的技术规格书。本标准是在ASME第III卷的基础上，参考NB</w:t>
      </w:r>
      <w:r>
        <w:rPr>
          <w:rFonts w:asciiTheme="minorEastAsia" w:hAnsiTheme="minorEastAsia"/>
          <w:sz w:val="24"/>
          <w:szCs w:val="28"/>
          <w:lang w:val="de-DE"/>
        </w:rPr>
        <w:t>/</w:t>
      </w:r>
      <w:r>
        <w:rPr>
          <w:rFonts w:hint="eastAsia" w:asciiTheme="minorEastAsia" w:hAnsiTheme="minorEastAsia"/>
          <w:sz w:val="24"/>
          <w:szCs w:val="28"/>
          <w:lang w:val="de-DE"/>
        </w:rPr>
        <w:t>T 20002.</w:t>
      </w:r>
      <w:r>
        <w:rPr>
          <w:rFonts w:asciiTheme="minorEastAsia" w:hAnsiTheme="minorEastAsia"/>
          <w:sz w:val="24"/>
          <w:szCs w:val="28"/>
          <w:lang w:val="de-DE"/>
        </w:rPr>
        <w:t>6压水堆核电厂机械设备焊接规范</w:t>
      </w:r>
      <w:r>
        <w:rPr>
          <w:rFonts w:hint="eastAsia" w:asciiTheme="minorEastAsia" w:hAnsiTheme="minorEastAsia"/>
          <w:sz w:val="24"/>
          <w:szCs w:val="28"/>
          <w:lang w:val="de-DE"/>
        </w:rPr>
        <w:t xml:space="preserve"> 第6部分：产品焊接，增加了高温设备的相关焊接及热处理要求。</w:t>
      </w:r>
    </w:p>
    <w:p w14:paraId="141BCBBC">
      <w:pPr>
        <w:numPr>
          <w:ilvl w:val="0"/>
          <w:numId w:val="1"/>
        </w:numPr>
        <w:spacing w:before="240" w:after="240" w:line="360" w:lineRule="auto"/>
        <w:rPr>
          <w:rFonts w:ascii="黑体" w:eastAsia="黑体"/>
          <w:sz w:val="28"/>
          <w:szCs w:val="28"/>
        </w:rPr>
      </w:pPr>
      <w:r>
        <w:rPr>
          <w:rFonts w:hint="eastAsia" w:ascii="黑体" w:eastAsia="黑体"/>
          <w:sz w:val="28"/>
          <w:szCs w:val="28"/>
        </w:rPr>
        <w:t>与现行法律、法规、政策及相关标准的协调性</w:t>
      </w:r>
    </w:p>
    <w:p w14:paraId="18A6F20A">
      <w:pPr>
        <w:pStyle w:val="24"/>
        <w:spacing w:line="360" w:lineRule="auto"/>
        <w:ind w:firstLine="480"/>
        <w:rPr>
          <w:rFonts w:ascii="黑体" w:hAnsi="宋体"/>
          <w:sz w:val="24"/>
          <w:szCs w:val="28"/>
          <w:lang w:val="de-DE"/>
        </w:rPr>
      </w:pPr>
      <w:r>
        <w:rPr>
          <w:rFonts w:hint="eastAsia" w:ascii="黑体" w:hAnsi="宋体"/>
          <w:sz w:val="24"/>
          <w:szCs w:val="28"/>
          <w:lang w:val="de-DE"/>
        </w:rPr>
        <w:t>本标准技术内容符合国家核安全技术法规</w:t>
      </w:r>
      <w:r>
        <w:rPr>
          <w:rFonts w:hint="eastAsia" w:ascii="黑体" w:hAnsi="宋体"/>
          <w:sz w:val="24"/>
          <w:szCs w:val="28"/>
        </w:rPr>
        <w:t>及</w:t>
      </w:r>
      <w:r>
        <w:rPr>
          <w:rFonts w:hint="eastAsia" w:ascii="黑体" w:hAnsi="宋体"/>
          <w:sz w:val="24"/>
          <w:szCs w:val="28"/>
          <w:lang w:val="de-DE"/>
        </w:rPr>
        <w:t>导则要求。本标准技术内容</w:t>
      </w:r>
      <w:r>
        <w:rPr>
          <w:rFonts w:hint="eastAsia" w:asciiTheme="minorEastAsia" w:hAnsiTheme="minorEastAsia"/>
          <w:sz w:val="24"/>
          <w:szCs w:val="28"/>
          <w:lang w:val="de-DE"/>
        </w:rPr>
        <w:t>与行业标准</w:t>
      </w:r>
      <w:r>
        <w:rPr>
          <w:rFonts w:hint="eastAsia" w:asciiTheme="minorEastAsia" w:hAnsiTheme="minorEastAsia"/>
          <w:kern w:val="2"/>
          <w:sz w:val="24"/>
          <w:szCs w:val="28"/>
          <w:lang w:val="de-DE"/>
        </w:rPr>
        <w:t>NB</w:t>
      </w:r>
      <w:r>
        <w:rPr>
          <w:rFonts w:asciiTheme="minorEastAsia" w:hAnsiTheme="minorEastAsia"/>
          <w:kern w:val="2"/>
          <w:sz w:val="24"/>
          <w:szCs w:val="28"/>
          <w:lang w:val="de-DE"/>
        </w:rPr>
        <w:t>/</w:t>
      </w:r>
      <w:r>
        <w:rPr>
          <w:rFonts w:hint="eastAsia" w:asciiTheme="minorEastAsia" w:hAnsiTheme="minorEastAsia"/>
          <w:kern w:val="2"/>
          <w:sz w:val="24"/>
          <w:szCs w:val="28"/>
          <w:lang w:val="de-DE"/>
        </w:rPr>
        <w:t>T 20002.</w:t>
      </w:r>
      <w:r>
        <w:rPr>
          <w:rFonts w:asciiTheme="minorEastAsia" w:hAnsiTheme="minorEastAsia"/>
          <w:kern w:val="2"/>
          <w:sz w:val="24"/>
          <w:szCs w:val="28"/>
          <w:lang w:val="de-DE"/>
        </w:rPr>
        <w:t>6</w:t>
      </w:r>
      <w:r>
        <w:rPr>
          <w:rFonts w:hint="eastAsia" w:asciiTheme="minorEastAsia" w:hAnsiTheme="minorEastAsia"/>
          <w:kern w:val="2"/>
          <w:sz w:val="24"/>
          <w:szCs w:val="28"/>
          <w:lang w:val="de-DE"/>
        </w:rPr>
        <w:t>《</w:t>
      </w:r>
      <w:r>
        <w:rPr>
          <w:rFonts w:asciiTheme="minorEastAsia" w:hAnsiTheme="minorEastAsia"/>
          <w:kern w:val="2"/>
          <w:sz w:val="24"/>
          <w:szCs w:val="28"/>
          <w:lang w:val="de-DE"/>
        </w:rPr>
        <w:t>压水堆核电厂机械设备焊接规范</w:t>
      </w:r>
      <w:r>
        <w:rPr>
          <w:rFonts w:hint="eastAsia" w:asciiTheme="minorEastAsia" w:hAnsiTheme="minorEastAsia"/>
          <w:kern w:val="2"/>
          <w:sz w:val="24"/>
          <w:szCs w:val="28"/>
          <w:lang w:val="de-DE"/>
        </w:rPr>
        <w:t xml:space="preserve"> 第6部分：产品焊接》</w:t>
      </w:r>
      <w:r>
        <w:rPr>
          <w:rFonts w:hint="eastAsia" w:asciiTheme="minorEastAsia" w:hAnsiTheme="minorEastAsia"/>
          <w:sz w:val="24"/>
          <w:szCs w:val="28"/>
          <w:lang w:val="de-DE"/>
        </w:rPr>
        <w:t>协调一致</w:t>
      </w:r>
      <w:r>
        <w:rPr>
          <w:rFonts w:hint="eastAsia" w:ascii="黑体" w:hAnsi="宋体"/>
          <w:sz w:val="24"/>
          <w:szCs w:val="28"/>
          <w:lang w:val="de-DE"/>
        </w:rPr>
        <w:t>。</w:t>
      </w:r>
    </w:p>
    <w:p w14:paraId="3E093D75">
      <w:pPr>
        <w:numPr>
          <w:ilvl w:val="0"/>
          <w:numId w:val="1"/>
        </w:numPr>
        <w:spacing w:before="240" w:after="240" w:line="360" w:lineRule="auto"/>
        <w:rPr>
          <w:rFonts w:ascii="黑体" w:eastAsia="黑体"/>
          <w:sz w:val="28"/>
          <w:szCs w:val="28"/>
        </w:rPr>
      </w:pPr>
      <w:r>
        <w:rPr>
          <w:rFonts w:hint="eastAsia" w:ascii="黑体" w:eastAsia="黑体"/>
          <w:sz w:val="28"/>
          <w:szCs w:val="28"/>
        </w:rPr>
        <w:t>贯彻标准的要求和措施建议</w:t>
      </w:r>
    </w:p>
    <w:p w14:paraId="36E4EBAB">
      <w:pPr>
        <w:spacing w:before="240" w:after="240" w:line="360" w:lineRule="auto"/>
        <w:rPr>
          <w:rFonts w:ascii="黑体"/>
          <w:sz w:val="28"/>
          <w:szCs w:val="28"/>
        </w:rPr>
      </w:pPr>
      <w:r>
        <w:rPr>
          <w:rFonts w:hint="eastAsia" w:ascii="黑体" w:eastAsia="黑体"/>
          <w:sz w:val="28"/>
          <w:szCs w:val="28"/>
        </w:rPr>
        <w:t xml:space="preserve">    </w:t>
      </w:r>
      <w:r>
        <w:rPr>
          <w:rFonts w:hint="eastAsia" w:ascii="黑体" w:hAnsi="宋体" w:eastAsia="宋体" w:cs="宋体"/>
          <w:kern w:val="0"/>
          <w:sz w:val="24"/>
          <w:szCs w:val="28"/>
        </w:rPr>
        <w:t>本标准发布后，建议高温气冷堆核动力厂核级高温设备等相关设计、运营单位采用。本标准发布后立即实施</w:t>
      </w:r>
      <w:r>
        <w:rPr>
          <w:rFonts w:hint="eastAsia" w:asciiTheme="minorEastAsia" w:hAnsiTheme="minorEastAsia"/>
          <w:color w:val="0000FF"/>
          <w:sz w:val="24"/>
          <w:szCs w:val="28"/>
        </w:rPr>
        <w:t>。</w:t>
      </w:r>
    </w:p>
    <w:p w14:paraId="3877FF6A">
      <w:pPr>
        <w:numPr>
          <w:ilvl w:val="0"/>
          <w:numId w:val="1"/>
        </w:numPr>
        <w:spacing w:before="240" w:after="240" w:line="360" w:lineRule="auto"/>
        <w:rPr>
          <w:rFonts w:ascii="黑体" w:eastAsia="黑体"/>
          <w:sz w:val="28"/>
          <w:szCs w:val="28"/>
        </w:rPr>
      </w:pPr>
      <w:r>
        <w:rPr>
          <w:rFonts w:hint="eastAsia" w:ascii="黑体" w:eastAsia="黑体"/>
          <w:sz w:val="28"/>
          <w:szCs w:val="28"/>
        </w:rPr>
        <w:t>重大分歧意见的处理经过和依据</w:t>
      </w:r>
    </w:p>
    <w:p w14:paraId="0AFAEDCB">
      <w:pPr>
        <w:pStyle w:val="24"/>
        <w:spacing w:line="360" w:lineRule="auto"/>
        <w:ind w:firstLine="480"/>
        <w:rPr>
          <w:rFonts w:ascii="黑体" w:hAnsi="宋体"/>
          <w:sz w:val="24"/>
          <w:szCs w:val="28"/>
          <w:lang w:val="de-DE"/>
        </w:rPr>
      </w:pPr>
      <w:r>
        <w:rPr>
          <w:rFonts w:hint="eastAsia" w:ascii="黑体" w:hAnsi="宋体"/>
          <w:sz w:val="24"/>
          <w:szCs w:val="28"/>
          <w:lang w:val="de-DE"/>
        </w:rPr>
        <w:t>本标准起草过程中无重大分歧意见。</w:t>
      </w:r>
    </w:p>
    <w:p w14:paraId="02813390">
      <w:pPr>
        <w:numPr>
          <w:ilvl w:val="0"/>
          <w:numId w:val="1"/>
        </w:numPr>
        <w:spacing w:before="240" w:after="240" w:line="360" w:lineRule="auto"/>
        <w:rPr>
          <w:rFonts w:ascii="黑体" w:eastAsia="黑体"/>
          <w:sz w:val="28"/>
          <w:szCs w:val="28"/>
        </w:rPr>
      </w:pPr>
      <w:r>
        <w:rPr>
          <w:rFonts w:hint="eastAsia" w:ascii="黑体" w:eastAsia="黑体"/>
          <w:sz w:val="28"/>
          <w:szCs w:val="28"/>
        </w:rPr>
        <w:t>涉及专利的有关说明</w:t>
      </w:r>
    </w:p>
    <w:p w14:paraId="2AD1212B">
      <w:pPr>
        <w:pStyle w:val="24"/>
        <w:spacing w:line="360" w:lineRule="auto"/>
        <w:ind w:firstLine="480"/>
        <w:rPr>
          <w:rFonts w:ascii="黑体" w:hAnsi="宋体"/>
          <w:sz w:val="24"/>
          <w:szCs w:val="28"/>
          <w:lang w:val="de-DE"/>
        </w:rPr>
      </w:pPr>
      <w:r>
        <w:rPr>
          <w:rFonts w:hint="eastAsia" w:ascii="黑体" w:hAnsi="宋体"/>
          <w:sz w:val="24"/>
          <w:szCs w:val="28"/>
          <w:lang w:val="de-DE"/>
        </w:rPr>
        <w:t>本标准不涉及专利。</w:t>
      </w:r>
    </w:p>
    <w:p w14:paraId="6A0ABF21">
      <w:pPr>
        <w:numPr>
          <w:ilvl w:val="0"/>
          <w:numId w:val="1"/>
        </w:numPr>
        <w:spacing w:before="240" w:after="240" w:line="360" w:lineRule="auto"/>
        <w:rPr>
          <w:rFonts w:ascii="黑体" w:eastAsia="黑体"/>
          <w:sz w:val="28"/>
          <w:szCs w:val="28"/>
        </w:rPr>
      </w:pPr>
      <w:r>
        <w:rPr>
          <w:rFonts w:ascii="黑体" w:eastAsia="黑体"/>
          <w:sz w:val="28"/>
          <w:szCs w:val="28"/>
        </w:rPr>
        <w:t>其它事项</w:t>
      </w:r>
    </w:p>
    <w:p w14:paraId="02EED62F">
      <w:pPr>
        <w:spacing w:line="360" w:lineRule="auto"/>
        <w:ind w:firstLine="480" w:firstLineChars="200"/>
        <w:rPr>
          <w:rFonts w:ascii="黑体" w:eastAsia="黑体"/>
          <w:sz w:val="28"/>
          <w:szCs w:val="28"/>
        </w:rPr>
      </w:pPr>
      <w:r>
        <w:rPr>
          <w:rFonts w:hint="eastAsia"/>
          <w:sz w:val="24"/>
        </w:rPr>
        <w:t>无/调整申请等情况</w:t>
      </w:r>
      <w:r>
        <w:rPr>
          <w:rFonts w:hint="eastAsia" w:ascii="黑体" w:hAnsi="宋体"/>
          <w:sz w:val="24"/>
          <w:szCs w:val="28"/>
          <w:lang w:val="de-DE"/>
        </w:rPr>
        <w:t>。</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EBDC0">
    <w:pPr>
      <w:pStyle w:val="8"/>
      <w:jc w:val="center"/>
    </w:pPr>
  </w:p>
  <w:p w14:paraId="3735267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0474950"/>
    </w:sdtPr>
    <w:sdtEndPr>
      <w:rPr>
        <w:rFonts w:asciiTheme="minorEastAsia" w:hAnsiTheme="minorEastAsia"/>
        <w:sz w:val="21"/>
        <w:szCs w:val="21"/>
      </w:rPr>
    </w:sdtEndPr>
    <w:sdtContent>
      <w:p w14:paraId="2D70635B">
        <w:pPr>
          <w:pStyle w:val="8"/>
          <w:jc w:val="center"/>
          <w:rPr>
            <w:rFonts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 xml:space="preserve">PAGE   \* MERGEFORMAT</w:instrText>
        </w:r>
        <w:r>
          <w:rPr>
            <w:rFonts w:asciiTheme="minorEastAsia" w:hAnsiTheme="minorEastAsia"/>
            <w:sz w:val="21"/>
            <w:szCs w:val="21"/>
          </w:rPr>
          <w:fldChar w:fldCharType="separate"/>
        </w:r>
        <w:r>
          <w:rPr>
            <w:rFonts w:asciiTheme="minorEastAsia" w:hAnsiTheme="minorEastAsia"/>
            <w:sz w:val="21"/>
            <w:szCs w:val="21"/>
            <w:lang w:val="zh-CN"/>
          </w:rPr>
          <w:t>2</w:t>
        </w:r>
        <w:r>
          <w:rPr>
            <w:rFonts w:asciiTheme="minorEastAsia" w:hAnsiTheme="minorEastAsia"/>
            <w:sz w:val="21"/>
            <w:szCs w:val="21"/>
          </w:rPr>
          <w:fldChar w:fldCharType="end"/>
        </w:r>
      </w:p>
    </w:sdtContent>
  </w:sdt>
  <w:p w14:paraId="1793BE5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E3D38"/>
    <w:multiLevelType w:val="multilevel"/>
    <w:tmpl w:val="2D4E3D38"/>
    <w:lvl w:ilvl="0" w:tentative="0">
      <w:start w:val="1"/>
      <w:numFmt w:val="japaneseCounting"/>
      <w:lvlText w:val="%1、"/>
      <w:lvlJc w:val="left"/>
      <w:pPr>
        <w:tabs>
          <w:tab w:val="left" w:pos="720"/>
        </w:tabs>
        <w:ind w:left="720" w:hanging="720"/>
      </w:pPr>
      <w:rPr>
        <w:rFonts w:hint="eastAsia"/>
        <w:sz w:val="28"/>
        <w:szCs w:val="28"/>
      </w:rPr>
    </w:lvl>
    <w:lvl w:ilvl="1" w:tentative="0">
      <w:start w:val="1"/>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D6A"/>
    <w:rsid w:val="0001035E"/>
    <w:rsid w:val="00020F20"/>
    <w:rsid w:val="00032502"/>
    <w:rsid w:val="000352E2"/>
    <w:rsid w:val="00036EF6"/>
    <w:rsid w:val="00053FEC"/>
    <w:rsid w:val="0006333A"/>
    <w:rsid w:val="0006411B"/>
    <w:rsid w:val="0006596B"/>
    <w:rsid w:val="00066DB3"/>
    <w:rsid w:val="0008573B"/>
    <w:rsid w:val="00087647"/>
    <w:rsid w:val="00091E9C"/>
    <w:rsid w:val="000A366A"/>
    <w:rsid w:val="000E4C1C"/>
    <w:rsid w:val="000E59E1"/>
    <w:rsid w:val="000E6B69"/>
    <w:rsid w:val="000F2FED"/>
    <w:rsid w:val="00100047"/>
    <w:rsid w:val="00120BF8"/>
    <w:rsid w:val="00135FE4"/>
    <w:rsid w:val="00162AC3"/>
    <w:rsid w:val="001662F4"/>
    <w:rsid w:val="00171731"/>
    <w:rsid w:val="0018410B"/>
    <w:rsid w:val="0018750C"/>
    <w:rsid w:val="001A04B6"/>
    <w:rsid w:val="001C3A26"/>
    <w:rsid w:val="001C4ED9"/>
    <w:rsid w:val="001D1932"/>
    <w:rsid w:val="001D1C95"/>
    <w:rsid w:val="001D53B0"/>
    <w:rsid w:val="001D5C80"/>
    <w:rsid w:val="001D7C70"/>
    <w:rsid w:val="001F3979"/>
    <w:rsid w:val="001F78E8"/>
    <w:rsid w:val="002248E2"/>
    <w:rsid w:val="00230930"/>
    <w:rsid w:val="00231B37"/>
    <w:rsid w:val="0023271D"/>
    <w:rsid w:val="00255933"/>
    <w:rsid w:val="0026281F"/>
    <w:rsid w:val="00262F65"/>
    <w:rsid w:val="00263F77"/>
    <w:rsid w:val="00271E11"/>
    <w:rsid w:val="00272FB6"/>
    <w:rsid w:val="00277521"/>
    <w:rsid w:val="002837DD"/>
    <w:rsid w:val="002A3631"/>
    <w:rsid w:val="002B4EF8"/>
    <w:rsid w:val="002C70FD"/>
    <w:rsid w:val="002E7FC9"/>
    <w:rsid w:val="002F19CD"/>
    <w:rsid w:val="003023D6"/>
    <w:rsid w:val="003054DF"/>
    <w:rsid w:val="00347448"/>
    <w:rsid w:val="003477F4"/>
    <w:rsid w:val="00360720"/>
    <w:rsid w:val="00360880"/>
    <w:rsid w:val="0036585E"/>
    <w:rsid w:val="00374640"/>
    <w:rsid w:val="00376793"/>
    <w:rsid w:val="00377A70"/>
    <w:rsid w:val="00380A66"/>
    <w:rsid w:val="00384434"/>
    <w:rsid w:val="0039353C"/>
    <w:rsid w:val="00397253"/>
    <w:rsid w:val="003A7847"/>
    <w:rsid w:val="003C1750"/>
    <w:rsid w:val="003D5D6A"/>
    <w:rsid w:val="003D6964"/>
    <w:rsid w:val="003D73E7"/>
    <w:rsid w:val="003E0D1B"/>
    <w:rsid w:val="003F4F38"/>
    <w:rsid w:val="0041093F"/>
    <w:rsid w:val="0041513D"/>
    <w:rsid w:val="00421780"/>
    <w:rsid w:val="00434B44"/>
    <w:rsid w:val="004351D2"/>
    <w:rsid w:val="004570FA"/>
    <w:rsid w:val="004629BF"/>
    <w:rsid w:val="004818B1"/>
    <w:rsid w:val="00482C0B"/>
    <w:rsid w:val="00487D8A"/>
    <w:rsid w:val="0049012E"/>
    <w:rsid w:val="00493B74"/>
    <w:rsid w:val="00494F73"/>
    <w:rsid w:val="004A39CA"/>
    <w:rsid w:val="004B012F"/>
    <w:rsid w:val="004B1ED8"/>
    <w:rsid w:val="004C1E82"/>
    <w:rsid w:val="004D5C7C"/>
    <w:rsid w:val="004E1878"/>
    <w:rsid w:val="00501090"/>
    <w:rsid w:val="00510B30"/>
    <w:rsid w:val="005337D3"/>
    <w:rsid w:val="00535B6B"/>
    <w:rsid w:val="00565379"/>
    <w:rsid w:val="00577081"/>
    <w:rsid w:val="00583F07"/>
    <w:rsid w:val="00592463"/>
    <w:rsid w:val="00593417"/>
    <w:rsid w:val="005C060A"/>
    <w:rsid w:val="005D2B6F"/>
    <w:rsid w:val="005D459D"/>
    <w:rsid w:val="005E7DA2"/>
    <w:rsid w:val="005F1089"/>
    <w:rsid w:val="005F324A"/>
    <w:rsid w:val="006015F7"/>
    <w:rsid w:val="00604D60"/>
    <w:rsid w:val="00624A40"/>
    <w:rsid w:val="00656297"/>
    <w:rsid w:val="006807F9"/>
    <w:rsid w:val="006842A7"/>
    <w:rsid w:val="0069218C"/>
    <w:rsid w:val="006A3ED7"/>
    <w:rsid w:val="006A5A31"/>
    <w:rsid w:val="006B0792"/>
    <w:rsid w:val="006C67AB"/>
    <w:rsid w:val="006D2527"/>
    <w:rsid w:val="006D2A2A"/>
    <w:rsid w:val="006D654C"/>
    <w:rsid w:val="006E39BB"/>
    <w:rsid w:val="006F71DF"/>
    <w:rsid w:val="00726B81"/>
    <w:rsid w:val="0073764F"/>
    <w:rsid w:val="00737BD6"/>
    <w:rsid w:val="00741DD1"/>
    <w:rsid w:val="00762A7F"/>
    <w:rsid w:val="007640A6"/>
    <w:rsid w:val="00765F81"/>
    <w:rsid w:val="007823B4"/>
    <w:rsid w:val="007945C1"/>
    <w:rsid w:val="007C6FFA"/>
    <w:rsid w:val="008049C5"/>
    <w:rsid w:val="00822669"/>
    <w:rsid w:val="0082296F"/>
    <w:rsid w:val="008272B6"/>
    <w:rsid w:val="00830678"/>
    <w:rsid w:val="00832DCD"/>
    <w:rsid w:val="00841E8E"/>
    <w:rsid w:val="00860227"/>
    <w:rsid w:val="00861D8F"/>
    <w:rsid w:val="0087331D"/>
    <w:rsid w:val="008948AF"/>
    <w:rsid w:val="00897716"/>
    <w:rsid w:val="008B7981"/>
    <w:rsid w:val="008C08D5"/>
    <w:rsid w:val="008C15E6"/>
    <w:rsid w:val="008C1B69"/>
    <w:rsid w:val="008D2FD7"/>
    <w:rsid w:val="008D5EBD"/>
    <w:rsid w:val="008D5EDF"/>
    <w:rsid w:val="008E636A"/>
    <w:rsid w:val="00911329"/>
    <w:rsid w:val="00930ED7"/>
    <w:rsid w:val="00943FCA"/>
    <w:rsid w:val="00944650"/>
    <w:rsid w:val="00946F21"/>
    <w:rsid w:val="00953C06"/>
    <w:rsid w:val="009656CB"/>
    <w:rsid w:val="009666A8"/>
    <w:rsid w:val="0096672D"/>
    <w:rsid w:val="00991817"/>
    <w:rsid w:val="009A07E0"/>
    <w:rsid w:val="009A3084"/>
    <w:rsid w:val="009A3AEB"/>
    <w:rsid w:val="009C2184"/>
    <w:rsid w:val="009D5501"/>
    <w:rsid w:val="009E1897"/>
    <w:rsid w:val="00A02C1A"/>
    <w:rsid w:val="00A036B1"/>
    <w:rsid w:val="00A1629E"/>
    <w:rsid w:val="00A23528"/>
    <w:rsid w:val="00A332CC"/>
    <w:rsid w:val="00A3410F"/>
    <w:rsid w:val="00A41EDF"/>
    <w:rsid w:val="00A454E1"/>
    <w:rsid w:val="00A513CB"/>
    <w:rsid w:val="00A52E1A"/>
    <w:rsid w:val="00A539F9"/>
    <w:rsid w:val="00A72053"/>
    <w:rsid w:val="00A80789"/>
    <w:rsid w:val="00A85ED0"/>
    <w:rsid w:val="00A94B8A"/>
    <w:rsid w:val="00AA0012"/>
    <w:rsid w:val="00AA1D40"/>
    <w:rsid w:val="00AA7212"/>
    <w:rsid w:val="00AB1BC4"/>
    <w:rsid w:val="00AB7EB3"/>
    <w:rsid w:val="00AC6EC0"/>
    <w:rsid w:val="00AD1385"/>
    <w:rsid w:val="00AD342B"/>
    <w:rsid w:val="00AD4BFC"/>
    <w:rsid w:val="00AE2E13"/>
    <w:rsid w:val="00B1176B"/>
    <w:rsid w:val="00B27905"/>
    <w:rsid w:val="00B349BD"/>
    <w:rsid w:val="00B43477"/>
    <w:rsid w:val="00B464BF"/>
    <w:rsid w:val="00B46840"/>
    <w:rsid w:val="00B565BB"/>
    <w:rsid w:val="00B66BA8"/>
    <w:rsid w:val="00B67AB9"/>
    <w:rsid w:val="00B75C75"/>
    <w:rsid w:val="00B80B98"/>
    <w:rsid w:val="00B833F4"/>
    <w:rsid w:val="00B86AC2"/>
    <w:rsid w:val="00B87C55"/>
    <w:rsid w:val="00B90D7E"/>
    <w:rsid w:val="00B94209"/>
    <w:rsid w:val="00BA5C3D"/>
    <w:rsid w:val="00BB232B"/>
    <w:rsid w:val="00BB5C26"/>
    <w:rsid w:val="00BE5AE0"/>
    <w:rsid w:val="00BF3CE3"/>
    <w:rsid w:val="00BF53A9"/>
    <w:rsid w:val="00C10AE7"/>
    <w:rsid w:val="00C158DF"/>
    <w:rsid w:val="00C37E1D"/>
    <w:rsid w:val="00C37F78"/>
    <w:rsid w:val="00C632FF"/>
    <w:rsid w:val="00C70CFC"/>
    <w:rsid w:val="00C82498"/>
    <w:rsid w:val="00CA1A9A"/>
    <w:rsid w:val="00CB4F95"/>
    <w:rsid w:val="00CC16B9"/>
    <w:rsid w:val="00CC5982"/>
    <w:rsid w:val="00CE54C8"/>
    <w:rsid w:val="00D04AF0"/>
    <w:rsid w:val="00D12DB6"/>
    <w:rsid w:val="00D377FB"/>
    <w:rsid w:val="00D82D77"/>
    <w:rsid w:val="00D86897"/>
    <w:rsid w:val="00D90C74"/>
    <w:rsid w:val="00DA0699"/>
    <w:rsid w:val="00DA0763"/>
    <w:rsid w:val="00DC337B"/>
    <w:rsid w:val="00DD3CF8"/>
    <w:rsid w:val="00DD4EE0"/>
    <w:rsid w:val="00DE1542"/>
    <w:rsid w:val="00DE6559"/>
    <w:rsid w:val="00E05368"/>
    <w:rsid w:val="00E10B69"/>
    <w:rsid w:val="00E360CB"/>
    <w:rsid w:val="00E36FC3"/>
    <w:rsid w:val="00E76A7B"/>
    <w:rsid w:val="00E90100"/>
    <w:rsid w:val="00E9625E"/>
    <w:rsid w:val="00EA4970"/>
    <w:rsid w:val="00EB3A01"/>
    <w:rsid w:val="00EE5E5C"/>
    <w:rsid w:val="00EF1882"/>
    <w:rsid w:val="00EF4C74"/>
    <w:rsid w:val="00F147EB"/>
    <w:rsid w:val="00F17050"/>
    <w:rsid w:val="00F30D51"/>
    <w:rsid w:val="00F35566"/>
    <w:rsid w:val="00F35DF2"/>
    <w:rsid w:val="00F3622B"/>
    <w:rsid w:val="00F424E8"/>
    <w:rsid w:val="00F45DC7"/>
    <w:rsid w:val="00F605AE"/>
    <w:rsid w:val="00F67197"/>
    <w:rsid w:val="00F705C5"/>
    <w:rsid w:val="00F90CC9"/>
    <w:rsid w:val="00F915CB"/>
    <w:rsid w:val="00F95E18"/>
    <w:rsid w:val="00FA44BA"/>
    <w:rsid w:val="00FA6510"/>
    <w:rsid w:val="00FC3B05"/>
    <w:rsid w:val="00FD2C1D"/>
    <w:rsid w:val="00FE58E9"/>
    <w:rsid w:val="00FE741B"/>
    <w:rsid w:val="099044F7"/>
    <w:rsid w:val="2C041C52"/>
    <w:rsid w:val="401C0E4D"/>
    <w:rsid w:val="465F41FD"/>
    <w:rsid w:val="4BE71775"/>
    <w:rsid w:val="5B9067AF"/>
    <w:rsid w:val="6EA85DB1"/>
    <w:rsid w:val="78760568"/>
    <w:rsid w:val="7C775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9"/>
    <w:semiHidden/>
    <w:unhideWhenUsed/>
    <w:qFormat/>
    <w:uiPriority w:val="99"/>
    <w:pPr>
      <w:jc w:val="left"/>
    </w:pPr>
  </w:style>
  <w:style w:type="paragraph" w:styleId="6">
    <w:name w:val="Body Text"/>
    <w:basedOn w:val="1"/>
    <w:link w:val="31"/>
    <w:qFormat/>
    <w:uiPriority w:val="1"/>
    <w:pPr>
      <w:autoSpaceDE w:val="0"/>
      <w:autoSpaceDN w:val="0"/>
      <w:jc w:val="left"/>
    </w:pPr>
    <w:rPr>
      <w:rFonts w:ascii="宋体" w:hAnsi="宋体" w:eastAsia="宋体" w:cs="宋体"/>
      <w:kern w:val="0"/>
      <w:sz w:val="32"/>
      <w:szCs w:val="32"/>
      <w:lang w:eastAsia="en-US"/>
    </w:rPr>
  </w:style>
  <w:style w:type="paragraph" w:styleId="7">
    <w:name w:val="Balloon Text"/>
    <w:basedOn w:val="1"/>
    <w:link w:val="27"/>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8"/>
    <w:semiHidden/>
    <w:unhideWhenUsed/>
    <w:qFormat/>
    <w:uiPriority w:val="99"/>
    <w:pPr>
      <w:snapToGrid w:val="0"/>
      <w:jc w:val="left"/>
    </w:pPr>
    <w:rPr>
      <w:sz w:val="18"/>
      <w:szCs w:val="18"/>
    </w:rPr>
  </w:style>
  <w:style w:type="paragraph" w:styleId="11">
    <w:name w:val="Title"/>
    <w:basedOn w:val="1"/>
    <w:next w:val="1"/>
    <w:link w:val="30"/>
    <w:qFormat/>
    <w:uiPriority w:val="10"/>
    <w:pPr>
      <w:spacing w:before="240" w:after="60"/>
      <w:jc w:val="center"/>
      <w:outlineLvl w:val="0"/>
    </w:pPr>
    <w:rPr>
      <w:rFonts w:eastAsia="宋体" w:asciiTheme="majorHAnsi" w:hAnsiTheme="majorHAnsi" w:cstheme="majorBidi"/>
      <w:b/>
      <w:bCs/>
      <w:sz w:val="32"/>
      <w:szCs w:val="32"/>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99"/>
  </w:style>
  <w:style w:type="character" w:styleId="16">
    <w:name w:val="annotation reference"/>
    <w:basedOn w:val="14"/>
    <w:semiHidden/>
    <w:unhideWhenUsed/>
    <w:qFormat/>
    <w:uiPriority w:val="99"/>
    <w:rPr>
      <w:sz w:val="21"/>
      <w:szCs w:val="21"/>
    </w:rPr>
  </w:style>
  <w:style w:type="character" w:styleId="17">
    <w:name w:val="footnote reference"/>
    <w:basedOn w:val="14"/>
    <w:semiHidden/>
    <w:unhideWhenUsed/>
    <w:qFormat/>
    <w:uiPriority w:val="99"/>
    <w:rPr>
      <w:vertAlign w:val="superscript"/>
    </w:rPr>
  </w:style>
  <w:style w:type="character" w:customStyle="1" w:styleId="18">
    <w:name w:val="页眉 字符"/>
    <w:basedOn w:val="14"/>
    <w:link w:val="9"/>
    <w:qFormat/>
    <w:uiPriority w:val="99"/>
    <w:rPr>
      <w:sz w:val="18"/>
      <w:szCs w:val="18"/>
    </w:rPr>
  </w:style>
  <w:style w:type="character" w:customStyle="1" w:styleId="19">
    <w:name w:val="页脚 字符"/>
    <w:basedOn w:val="14"/>
    <w:link w:val="8"/>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标题 1 字符"/>
    <w:basedOn w:val="14"/>
    <w:link w:val="2"/>
    <w:qFormat/>
    <w:uiPriority w:val="9"/>
    <w:rPr>
      <w:b/>
      <w:bCs/>
      <w:kern w:val="44"/>
      <w:sz w:val="44"/>
      <w:szCs w:val="44"/>
    </w:rPr>
  </w:style>
  <w:style w:type="character" w:customStyle="1" w:styleId="22">
    <w:name w:val="标题 2 字符"/>
    <w:basedOn w:val="14"/>
    <w:link w:val="3"/>
    <w:qFormat/>
    <w:uiPriority w:val="9"/>
    <w:rPr>
      <w:rFonts w:asciiTheme="majorHAnsi" w:hAnsiTheme="majorHAnsi" w:eastAsiaTheme="majorEastAsia" w:cstheme="majorBidi"/>
      <w:b/>
      <w:bCs/>
      <w:sz w:val="32"/>
      <w:szCs w:val="32"/>
    </w:rPr>
  </w:style>
  <w:style w:type="character" w:customStyle="1" w:styleId="23">
    <w:name w:val="标题 3 字符"/>
    <w:basedOn w:val="14"/>
    <w:link w:val="4"/>
    <w:qFormat/>
    <w:uiPriority w:val="9"/>
    <w:rPr>
      <w:b/>
      <w:bCs/>
      <w:sz w:val="32"/>
      <w:szCs w:val="32"/>
    </w:rPr>
  </w:style>
  <w:style w:type="paragraph" w:customStyle="1" w:styleId="24">
    <w:name w:val="段"/>
    <w:link w:val="25"/>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character" w:customStyle="1" w:styleId="25">
    <w:name w:val="段 Char"/>
    <w:basedOn w:val="14"/>
    <w:link w:val="24"/>
    <w:qFormat/>
    <w:locked/>
    <w:uiPriority w:val="99"/>
    <w:rPr>
      <w:rFonts w:ascii="宋体" w:hAnsi="Times New Roman" w:eastAsia="宋体" w:cs="宋体"/>
      <w:kern w:val="0"/>
      <w:szCs w:val="21"/>
    </w:rPr>
  </w:style>
  <w:style w:type="paragraph" w:customStyle="1" w:styleId="26">
    <w:name w:val="CM49"/>
    <w:basedOn w:val="1"/>
    <w:next w:val="1"/>
    <w:qFormat/>
    <w:uiPriority w:val="0"/>
    <w:pPr>
      <w:autoSpaceDE w:val="0"/>
      <w:autoSpaceDN w:val="0"/>
      <w:adjustRightInd w:val="0"/>
      <w:spacing w:after="305"/>
      <w:jc w:val="left"/>
    </w:pPr>
    <w:rPr>
      <w:rFonts w:ascii="宋体" w:hAnsi="Times New Roman" w:eastAsia="宋体" w:cs="宋体"/>
      <w:kern w:val="0"/>
      <w:sz w:val="24"/>
      <w:szCs w:val="24"/>
    </w:rPr>
  </w:style>
  <w:style w:type="character" w:customStyle="1" w:styleId="27">
    <w:name w:val="批注框文本 字符"/>
    <w:basedOn w:val="14"/>
    <w:link w:val="7"/>
    <w:semiHidden/>
    <w:qFormat/>
    <w:uiPriority w:val="99"/>
    <w:rPr>
      <w:sz w:val="18"/>
      <w:szCs w:val="18"/>
    </w:rPr>
  </w:style>
  <w:style w:type="character" w:customStyle="1" w:styleId="28">
    <w:name w:val="脚注文本 字符"/>
    <w:basedOn w:val="14"/>
    <w:link w:val="10"/>
    <w:semiHidden/>
    <w:qFormat/>
    <w:uiPriority w:val="99"/>
    <w:rPr>
      <w:sz w:val="18"/>
      <w:szCs w:val="18"/>
    </w:rPr>
  </w:style>
  <w:style w:type="character" w:customStyle="1" w:styleId="29">
    <w:name w:val="批注文字 字符"/>
    <w:basedOn w:val="14"/>
    <w:link w:val="5"/>
    <w:semiHidden/>
    <w:qFormat/>
    <w:uiPriority w:val="99"/>
  </w:style>
  <w:style w:type="character" w:customStyle="1" w:styleId="30">
    <w:name w:val="标题 字符"/>
    <w:basedOn w:val="14"/>
    <w:link w:val="11"/>
    <w:qFormat/>
    <w:uiPriority w:val="10"/>
    <w:rPr>
      <w:rFonts w:eastAsia="宋体" w:asciiTheme="majorHAnsi" w:hAnsiTheme="majorHAnsi" w:cstheme="majorBidi"/>
      <w:b/>
      <w:bCs/>
      <w:sz w:val="32"/>
      <w:szCs w:val="32"/>
    </w:rPr>
  </w:style>
  <w:style w:type="character" w:customStyle="1" w:styleId="31">
    <w:name w:val="正文文本 字符"/>
    <w:basedOn w:val="14"/>
    <w:link w:val="6"/>
    <w:qFormat/>
    <w:uiPriority w:val="1"/>
    <w:rPr>
      <w:rFonts w:ascii="宋体" w:hAnsi="宋体" w:eastAsia="宋体" w:cs="宋体"/>
      <w:kern w:val="0"/>
      <w:sz w:val="32"/>
      <w:szCs w:val="32"/>
      <w:lang w:eastAsia="en-US"/>
    </w:rPr>
  </w:style>
  <w:style w:type="paragraph" w:customStyle="1" w:styleId="3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Normal.dotm</Template>
  <Company>http://www.deepbbs.org</Company>
  <Pages>6</Pages>
  <Words>2652</Words>
  <Characters>2810</Characters>
  <Lines>23</Lines>
  <Paragraphs>6</Paragraphs>
  <TotalTime>0</TotalTime>
  <ScaleCrop>false</ScaleCrop>
  <LinksUpToDate>false</LinksUpToDate>
  <CharactersWithSpaces>2857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2026-07-01T08:24:00Z</dcterms:created>
  <dc:creator>deeplm</dc:creator>
  <cp:lastModifiedBy>momo</cp:lastModifiedBy>
  <cp:lastPrinted>2014-03-17T03:12:00Z</cp:lastPrinted>
  <dcterms:modified xsi:type="dcterms:W3CDTF">2026-07-13T08:01:01Z</dcterms:modified>
  <dc:title>认可程序说明和背景介绍</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eyJoZGlkIjoiZTk2MjMzMDU2MGYxYTJiMTM5YWVmNmYxZWI1OTU3NzUiLCJ1c2VySWQiOiIxNTc4NjQxMzMwIn0=</vt:lpwstr>
  </property>
  <property fmtid="{D5CDD505-2E9C-101B-9397-08002B2CF9AE}" pid="3" name="KSOProductBuildVer">
    <vt:lpwstr>2052-12.1.0.25225</vt:lpwstr>
  </property>
  <property fmtid="{D5CDD505-2E9C-101B-9397-08002B2CF9AE}" pid="4" name="ICV">
    <vt:lpwstr>92E11124750B4986BB0337F331991277_12</vt:lpwstr>
  </property>
</Properties>
</file>